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0304B3C" w14:textId="77777777" w:rsidR="00875CA3" w:rsidRPr="00883A3A" w:rsidRDefault="00875CA3" w:rsidP="00883A3A">
      <w:pPr>
        <w:pStyle w:val="Indirizzoedatiintesta"/>
        <w:rPr>
          <w:rStyle w:val="NewRailCartaIntestata"/>
          <w:rFonts w:ascii="Arial" w:hAnsi="Arial" w:cstheme="minorBidi"/>
        </w:rPr>
      </w:pPr>
    </w:p>
    <w:p w14:paraId="47C31C08" w14:textId="77777777" w:rsidR="00875CA3" w:rsidRPr="00E8720F" w:rsidRDefault="00875CA3" w:rsidP="00E8720F">
      <w:pPr>
        <w:pStyle w:val="Indirizzoedatiintesta"/>
        <w:rPr>
          <w:rStyle w:val="NewRailCartaIntestata"/>
          <w:rFonts w:ascii="New Rail Alphabet Light" w:hAnsi="New Rail Alphabet Light" w:cstheme="minorBidi"/>
        </w:rPr>
      </w:pPr>
    </w:p>
    <w:p w14:paraId="6D8E4731" w14:textId="77777777" w:rsidR="003D0926" w:rsidRPr="00E8720F" w:rsidRDefault="003D0926" w:rsidP="00E8720F">
      <w:pPr>
        <w:pStyle w:val="Indirizzoedatiintesta"/>
        <w:rPr>
          <w:rStyle w:val="EnfasiBold"/>
          <w:rFonts w:ascii="New Rail Alphabet Light" w:hAnsi="New Rail Alphabet Light"/>
        </w:rPr>
      </w:pPr>
    </w:p>
    <w:p w14:paraId="5A4B0AA3" w14:textId="0EF445EF" w:rsidR="00C32016" w:rsidRPr="00950B7C" w:rsidRDefault="003D0926" w:rsidP="00883A3A">
      <w:pPr>
        <w:pStyle w:val="Indirizzoedatiintesta"/>
        <w:rPr>
          <w:rStyle w:val="EnfasiBold"/>
          <w:rFonts w:ascii="Arial" w:hAnsi="Arial"/>
        </w:rPr>
      </w:pPr>
      <w:r w:rsidRPr="00950B7C">
        <w:rPr>
          <w:rStyle w:val="EnfasiBold"/>
          <w:rFonts w:ascii="Arial" w:hAnsi="Arial"/>
        </w:rPr>
        <w:t>XX</w:t>
      </w:r>
      <w:r w:rsidR="00883A3A" w:rsidRPr="00950B7C">
        <w:rPr>
          <w:rStyle w:val="EnfasiBold"/>
          <w:rFonts w:ascii="Arial" w:hAnsi="Arial"/>
        </w:rPr>
        <w:t>IX edizione, 2018</w:t>
      </w:r>
    </w:p>
    <w:p w14:paraId="1E47C542" w14:textId="363EACFA" w:rsidR="006F2C03" w:rsidRDefault="00883A3A" w:rsidP="00883A3A">
      <w:pPr>
        <w:pStyle w:val="Indirizzoedatiintesta"/>
      </w:pPr>
      <w:r w:rsidRPr="00483257">
        <w:rPr>
          <w:b/>
        </w:rPr>
        <w:t>I Céide Fields</w:t>
      </w:r>
      <w:r w:rsidR="00E558D7">
        <w:t xml:space="preserve"> </w:t>
      </w:r>
    </w:p>
    <w:p w14:paraId="5F48F724" w14:textId="42E9CC19" w:rsidR="00883A3A" w:rsidRPr="00483257" w:rsidRDefault="00E558D7" w:rsidP="00883A3A">
      <w:pPr>
        <w:pStyle w:val="Indirizzoedatiintesta"/>
      </w:pPr>
      <w:r>
        <w:t>Ballycastle, c</w:t>
      </w:r>
      <w:r w:rsidR="00883A3A" w:rsidRPr="0079512B">
        <w:t xml:space="preserve">ontea di Mayo, Irlanda </w:t>
      </w:r>
    </w:p>
    <w:p w14:paraId="0D3DF86C" w14:textId="7D544542" w:rsidR="00883A3A" w:rsidRPr="00483257" w:rsidRDefault="00883A3A" w:rsidP="00883A3A">
      <w:pPr>
        <w:pStyle w:val="Indirizzoedatiintesta"/>
      </w:pPr>
    </w:p>
    <w:p w14:paraId="19CE9D6F" w14:textId="77777777" w:rsidR="00DE3617" w:rsidRPr="00E8720F" w:rsidRDefault="00DE3617" w:rsidP="00E8720F">
      <w:pPr>
        <w:pStyle w:val="Indirizzoedatiintesta"/>
        <w:rPr>
          <w:rStyle w:val="NewRailCartaIntestata"/>
          <w:rFonts w:ascii="New Rail Alphabet Light" w:hAnsi="New Rail Alphabet Light" w:cstheme="minorBidi"/>
        </w:rPr>
      </w:pPr>
    </w:p>
    <w:p w14:paraId="44506EA7" w14:textId="3B6B7451" w:rsidR="00C32016" w:rsidRPr="00E8720F" w:rsidRDefault="00E8720F" w:rsidP="00E8720F">
      <w:pPr>
        <w:pStyle w:val="Indirizzoedatiintesta"/>
        <w:rPr>
          <w:rStyle w:val="NewRailCartaIntestata"/>
          <w:rFonts w:ascii="New Rail Alphabet Light" w:hAnsi="New Rail Alphabet Light" w:cstheme="minorBidi"/>
        </w:rPr>
      </w:pPr>
      <w:r w:rsidRPr="0004344A">
        <w:rPr>
          <w:noProof/>
        </w:rPr>
        <mc:AlternateContent>
          <mc:Choice Requires="wps">
            <w:drawing>
              <wp:anchor distT="0" distB="0" distL="114300" distR="114300" simplePos="0" relativeHeight="251657216" behindDoc="1" locked="0" layoutInCell="1" allowOverlap="1" wp14:anchorId="282E3480" wp14:editId="3A4CF6AD">
                <wp:simplePos x="0" y="0"/>
                <wp:positionH relativeFrom="page">
                  <wp:posOffset>360045</wp:posOffset>
                </wp:positionH>
                <wp:positionV relativeFrom="page">
                  <wp:posOffset>2656840</wp:posOffset>
                </wp:positionV>
                <wp:extent cx="1252800" cy="6285600"/>
                <wp:effectExtent l="0" t="0" r="5080" b="1270"/>
                <wp:wrapNone/>
                <wp:docPr id="1" name="Casella di testo 1"/>
                <wp:cNvGraphicFramePr/>
                <a:graphic xmlns:a="http://schemas.openxmlformats.org/drawingml/2006/main">
                  <a:graphicData uri="http://schemas.microsoft.com/office/word/2010/wordprocessingShape">
                    <wps:wsp>
                      <wps:cNvSpPr txBox="1"/>
                      <wps:spPr>
                        <a:xfrm>
                          <a:off x="0" y="0"/>
                          <a:ext cx="1252800" cy="628560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0DF01B0E" w14:textId="7623C9A7" w:rsidR="00A82844" w:rsidRPr="00483237" w:rsidRDefault="00610A26" w:rsidP="00610A26">
                            <w:pPr>
                              <w:rPr>
                                <w:rStyle w:val="NewRailCartaIntestata"/>
                                <w:rFonts w:ascii="Arial" w:hAnsi="Arial" w:cs="Arial"/>
                              </w:rPr>
                            </w:pPr>
                            <w:r>
                              <w:rPr>
                                <w:rStyle w:val="NewRailCartaIntestata"/>
                                <w:rFonts w:ascii="Arial" w:hAnsi="Arial" w:cs="Arial"/>
                              </w:rPr>
                              <w:t>Testo di approfondimento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282E3480" id="_x0000_t202" coordsize="21600,21600" o:spt="202" path="m,l,21600r21600,l21600,xe">
                <v:stroke joinstyle="miter"/>
                <v:path gradientshapeok="t" o:connecttype="rect"/>
              </v:shapetype>
              <v:shape id="Casella di testo 1" o:spid="_x0000_s1026" type="#_x0000_t202" style="position:absolute;left:0;text-align:left;margin-left:28.35pt;margin-top:209.2pt;width:98.65pt;height:494.9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" filled="f" stroked="f">
                <v:textbox inset="0,0,0,0">
                  <w:txbxContent>
                    <w:p w14:paraId="0DF01B0E" w14:textId="7623C9A7" w:rsidR="00A82844" w:rsidRPr="00483237" w:rsidRDefault="00610A26" w:rsidP="00610A26">
                      <w:pPr>
                        <w:rPr>
                          <w:rStyle w:val="NewRailCartaIntestata"/>
                          <w:rFonts w:ascii="Arial" w:hAnsi="Arial" w:cs="Arial"/>
                        </w:rPr>
                      </w:pPr>
                      <w:r>
                        <w:rPr>
                          <w:rStyle w:val="NewRailCartaIntestata"/>
                          <w:rFonts w:ascii="Arial" w:hAnsi="Arial" w:cs="Arial"/>
                        </w:rPr>
                        <w:t>Testo di approfondimento</w:t>
                      </w:r>
                    </w:p>
                  </w:txbxContent>
                </v:textbox>
                <w10:wrap anchorx="page" anchory="page"/>
              </v:shape>
            </w:pict>
          </mc:Fallback>
        </mc:AlternateContent>
      </w:r>
    </w:p>
    <w:p w14:paraId="15FAED64" w14:textId="77777777" w:rsidR="00610A26" w:rsidRPr="00C1704B" w:rsidRDefault="00610A26" w:rsidP="00610A26">
      <w:pPr>
        <w:pStyle w:val="NormaleWeb1"/>
        <w:spacing w:before="0" w:after="0" w:line="240" w:lineRule="exact"/>
        <w:rPr>
          <w:rFonts w:ascii="Arial" w:hAnsi="Arial" w:cs="Arial"/>
          <w:sz w:val="20"/>
          <w:szCs w:val="20"/>
        </w:rPr>
      </w:pPr>
      <w:r w:rsidRPr="00C1704B">
        <w:rPr>
          <w:rFonts w:ascii="Arial" w:eastAsia="Arial" w:hAnsi="Arial" w:cs="Arial"/>
          <w:sz w:val="20"/>
          <w:szCs w:val="20"/>
          <w:lang w:val="it-IT"/>
        </w:rPr>
        <w:t>Gretta Byrne</w:t>
      </w:r>
    </w:p>
    <w:p w14:paraId="5671C3EF" w14:textId="77777777" w:rsidR="00610A26" w:rsidRDefault="00610A26" w:rsidP="00610A26">
      <w:pPr>
        <w:pStyle w:val="NormaleWeb1"/>
        <w:spacing w:before="0" w:after="0" w:line="240" w:lineRule="exact"/>
        <w:rPr>
          <w:rFonts w:ascii="Arial" w:eastAsia="Arial" w:hAnsi="Arial" w:cs="Arial"/>
          <w:b/>
          <w:sz w:val="20"/>
          <w:szCs w:val="20"/>
          <w:lang w:val="it-IT"/>
        </w:rPr>
      </w:pPr>
      <w:r w:rsidRPr="00C1704B">
        <w:rPr>
          <w:rFonts w:ascii="Arial" w:eastAsia="Arial" w:hAnsi="Arial" w:cs="Arial"/>
          <w:b/>
          <w:sz w:val="20"/>
          <w:szCs w:val="20"/>
          <w:lang w:val="it-IT"/>
        </w:rPr>
        <w:t>Céide Fields Visitor Centre. I primi venticinque anni</w:t>
      </w:r>
    </w:p>
    <w:p w14:paraId="0BB9C072" w14:textId="77777777" w:rsidR="006B77E9" w:rsidRDefault="00610A26" w:rsidP="00610A26">
      <w:pPr>
        <w:pStyle w:val="NormaleWeb1"/>
        <w:spacing w:before="0" w:after="0" w:line="240" w:lineRule="exact"/>
        <w:rPr>
          <w:rFonts w:ascii="Arial" w:eastAsia="Arial" w:hAnsi="Arial" w:cs="Arial"/>
          <w:sz w:val="16"/>
          <w:szCs w:val="16"/>
          <w:lang w:val="it-IT"/>
        </w:rPr>
      </w:pPr>
      <w:r w:rsidRPr="00C1704B">
        <w:rPr>
          <w:rFonts w:ascii="Arial" w:eastAsia="Arial" w:hAnsi="Arial" w:cs="Arial"/>
          <w:sz w:val="16"/>
          <w:szCs w:val="16"/>
          <w:lang w:val="it-IT"/>
        </w:rPr>
        <w:t xml:space="preserve">(Traduzione da inglese a italiano di Daniela Gatto per la Fondazione Benetton Studi Ricerche; testo in corso </w:t>
      </w:r>
    </w:p>
    <w:p w14:paraId="657680E9" w14:textId="6D630B6A" w:rsidR="00610A26" w:rsidRPr="00C1704B" w:rsidRDefault="00610A26" w:rsidP="00610A26">
      <w:pPr>
        <w:pStyle w:val="NormaleWeb1"/>
        <w:spacing w:before="0" w:after="0" w:line="240" w:lineRule="exact"/>
        <w:rPr>
          <w:rFonts w:ascii="Arial" w:eastAsia="Arial" w:hAnsi="Arial" w:cs="Arial"/>
          <w:sz w:val="16"/>
          <w:szCs w:val="16"/>
          <w:lang w:val="it-IT"/>
        </w:rPr>
      </w:pPr>
      <w:r w:rsidRPr="00C1704B">
        <w:rPr>
          <w:rFonts w:ascii="Arial" w:eastAsia="Arial" w:hAnsi="Arial" w:cs="Arial"/>
          <w:sz w:val="16"/>
          <w:szCs w:val="16"/>
          <w:lang w:val="it-IT"/>
        </w:rPr>
        <w:t>di pubb</w:t>
      </w:r>
      <w:r>
        <w:rPr>
          <w:rFonts w:ascii="Arial" w:eastAsia="Arial" w:hAnsi="Arial" w:cs="Arial"/>
          <w:sz w:val="16"/>
          <w:szCs w:val="16"/>
          <w:lang w:val="it-IT"/>
        </w:rPr>
        <w:t>l</w:t>
      </w:r>
      <w:r w:rsidRPr="00C1704B">
        <w:rPr>
          <w:rFonts w:ascii="Arial" w:eastAsia="Arial" w:hAnsi="Arial" w:cs="Arial"/>
          <w:sz w:val="16"/>
          <w:szCs w:val="16"/>
          <w:lang w:val="it-IT"/>
        </w:rPr>
        <w:t>icazione nel dossier del Premio Carlo Scarpa 2018, a cura di Patrizia Boschiero e Luigi Latini.)</w:t>
      </w:r>
    </w:p>
    <w:p w14:paraId="0E3C69BA" w14:textId="77777777" w:rsidR="00610A26" w:rsidRPr="00C1704B" w:rsidRDefault="00610A26" w:rsidP="00610A26">
      <w:pPr>
        <w:pStyle w:val="NormaleWeb1"/>
        <w:spacing w:before="0" w:after="0" w:line="240" w:lineRule="exact"/>
        <w:jc w:val="both"/>
        <w:rPr>
          <w:rFonts w:ascii="Arial" w:eastAsia="Arial" w:hAnsi="Arial" w:cs="Arial"/>
          <w:b/>
          <w:sz w:val="20"/>
          <w:szCs w:val="20"/>
          <w:lang w:val="it-IT"/>
        </w:rPr>
      </w:pPr>
    </w:p>
    <w:p w14:paraId="3EB0BA72" w14:textId="77777777" w:rsidR="00610A26" w:rsidRPr="00C1704B" w:rsidRDefault="00610A26" w:rsidP="00610A26">
      <w:pPr>
        <w:pStyle w:val="NormaleWeb1"/>
        <w:spacing w:before="0" w:after="0" w:line="240" w:lineRule="exact"/>
        <w:jc w:val="both"/>
        <w:rPr>
          <w:rFonts w:ascii="Arial" w:hAnsi="Arial" w:cs="Arial"/>
          <w:sz w:val="20"/>
          <w:szCs w:val="20"/>
        </w:rPr>
      </w:pPr>
      <w:r w:rsidRPr="00C1704B">
        <w:rPr>
          <w:rFonts w:ascii="Arial" w:eastAsia="Arial" w:hAnsi="Arial" w:cs="Arial"/>
          <w:sz w:val="20"/>
          <w:szCs w:val="20"/>
          <w:lang w:val="it-IT"/>
        </w:rPr>
        <w:t>Quando il Céide Fields Visitor Centre aprì al pubblico nel maggio 1993, la pubblicità che ne accompagnò l’apertura fu, per molti, la prima</w:t>
      </w:r>
      <w:r>
        <w:rPr>
          <w:rFonts w:ascii="Arial" w:eastAsia="Arial" w:hAnsi="Arial" w:cs="Arial"/>
          <w:sz w:val="20"/>
          <w:szCs w:val="20"/>
          <w:lang w:val="it-IT"/>
        </w:rPr>
        <w:t xml:space="preserve"> occasione per sentire</w:t>
      </w:r>
      <w:r w:rsidRPr="00C1704B">
        <w:rPr>
          <w:rFonts w:ascii="Arial" w:eastAsia="Arial" w:hAnsi="Arial" w:cs="Arial"/>
          <w:sz w:val="20"/>
          <w:szCs w:val="20"/>
          <w:lang w:val="it-IT"/>
        </w:rPr>
        <w:t xml:space="preserve"> nominare </w:t>
      </w:r>
      <w:r w:rsidRPr="007C2D5A">
        <w:rPr>
          <w:rFonts w:ascii="Arial" w:eastAsia="Arial" w:hAnsi="Arial" w:cs="Arial"/>
          <w:i/>
          <w:sz w:val="20"/>
          <w:szCs w:val="20"/>
          <w:lang w:val="it-IT"/>
        </w:rPr>
        <w:t>Céide Fields</w:t>
      </w:r>
      <w:r w:rsidRPr="00C1704B">
        <w:rPr>
          <w:rFonts w:ascii="Arial" w:eastAsia="Arial" w:hAnsi="Arial" w:cs="Arial"/>
          <w:sz w:val="20"/>
          <w:szCs w:val="20"/>
          <w:lang w:val="it-IT"/>
        </w:rPr>
        <w:t xml:space="preserve">. Il luogo, però, era ben noto agli studenti per il suo interesse archeologico, e non solo grazie alle lezioni e ai libri di testo. Per oltre vent’anni, numerosi studenti </w:t>
      </w:r>
      <w:r>
        <w:rPr>
          <w:rFonts w:ascii="Arial" w:eastAsia="Arial" w:hAnsi="Arial" w:cs="Arial"/>
          <w:sz w:val="20"/>
          <w:szCs w:val="20"/>
          <w:lang w:val="it-IT"/>
        </w:rPr>
        <w:t xml:space="preserve">di archeologia </w:t>
      </w:r>
      <w:r w:rsidRPr="00C1704B">
        <w:rPr>
          <w:rFonts w:ascii="Arial" w:eastAsia="Arial" w:hAnsi="Arial" w:cs="Arial"/>
          <w:sz w:val="20"/>
          <w:szCs w:val="20"/>
          <w:lang w:val="it-IT"/>
        </w:rPr>
        <w:t>avevano infatti lavorato ai vari scavi, e per dieci anni il lavoro di sondaggio e mappatura dei muretti di suddivisione dei campi si era svolto su base completamente volontaria, senza alcun finanziamento, soprattutto a opera degli studenti di Seamas Caulfield dello University College Dublin. Anche gli agricoltori e i tagliatori di torba locali erano sempre più consapevoli del fatto che quell</w:t>
      </w:r>
      <w:bookmarkStart w:id="0" w:name="_GoBack"/>
      <w:bookmarkEnd w:id="0"/>
      <w:r w:rsidRPr="00C1704B">
        <w:rPr>
          <w:rFonts w:ascii="Arial" w:eastAsia="Arial" w:hAnsi="Arial" w:cs="Arial"/>
          <w:sz w:val="20"/>
          <w:szCs w:val="20"/>
          <w:lang w:val="it-IT"/>
        </w:rPr>
        <w:t>e apparentemente semplici pietre nella torba dovevano essere, in realtà, qualcosa di ben più importante.</w:t>
      </w:r>
    </w:p>
    <w:p w14:paraId="1CED71E5" w14:textId="77777777" w:rsidR="00610A26" w:rsidRPr="00C1704B" w:rsidRDefault="00610A26" w:rsidP="00610A26">
      <w:pPr>
        <w:pStyle w:val="western"/>
        <w:spacing w:before="0" w:after="0" w:line="240" w:lineRule="exact"/>
        <w:jc w:val="both"/>
        <w:rPr>
          <w:rFonts w:ascii="Arial" w:hAnsi="Arial" w:cs="Arial"/>
          <w:sz w:val="20"/>
          <w:szCs w:val="20"/>
        </w:rPr>
      </w:pPr>
      <w:r>
        <w:rPr>
          <w:rFonts w:ascii="Arial" w:eastAsia="Arial" w:hAnsi="Arial" w:cs="Arial"/>
          <w:sz w:val="20"/>
          <w:szCs w:val="20"/>
          <w:lang w:val="it-IT"/>
        </w:rPr>
        <w:tab/>
      </w:r>
      <w:r w:rsidRPr="00C1704B">
        <w:rPr>
          <w:rFonts w:ascii="Arial" w:eastAsia="Arial" w:hAnsi="Arial" w:cs="Arial"/>
          <w:sz w:val="20"/>
          <w:szCs w:val="20"/>
          <w:lang w:val="it-IT"/>
        </w:rPr>
        <w:t xml:space="preserve">Con l’ampliarsi dell’estensione del sito e la crescente consapevolezza della sua importanza, Seamas Caulfield e Martin Downes lanciarono l’idea di creare un centro visitatori per sfruttare questo incredibile ritrovamento archeologico come risorsa economica sostenibile per attirare turisti nella zona. Al sito fu attribuito il nome “Céide Fields”, dato che la normale pratica di battezzare un </w:t>
      </w:r>
      <w:r>
        <w:rPr>
          <w:rFonts w:ascii="Arial" w:eastAsia="Arial" w:hAnsi="Arial" w:cs="Arial"/>
          <w:sz w:val="20"/>
          <w:szCs w:val="20"/>
          <w:lang w:val="it-IT"/>
        </w:rPr>
        <w:t>sito monumentale</w:t>
      </w:r>
      <w:r w:rsidRPr="00C1704B">
        <w:rPr>
          <w:rFonts w:ascii="Arial" w:eastAsia="Arial" w:hAnsi="Arial" w:cs="Arial"/>
          <w:sz w:val="20"/>
          <w:szCs w:val="20"/>
          <w:lang w:val="it-IT"/>
        </w:rPr>
        <w:t xml:space="preserve"> ispirandosi </w:t>
      </w:r>
      <w:r>
        <w:rPr>
          <w:rFonts w:ascii="Arial" w:eastAsia="Arial" w:hAnsi="Arial" w:cs="Arial"/>
          <w:sz w:val="20"/>
          <w:szCs w:val="20"/>
          <w:lang w:val="it-IT"/>
        </w:rPr>
        <w:t>al luogo del</w:t>
      </w:r>
      <w:r w:rsidRPr="00C1704B">
        <w:rPr>
          <w:rFonts w:ascii="Arial" w:eastAsia="Arial" w:hAnsi="Arial" w:cs="Arial"/>
          <w:sz w:val="20"/>
          <w:szCs w:val="20"/>
          <w:lang w:val="it-IT"/>
        </w:rPr>
        <w:t xml:space="preserve"> ritrovamento non era possibile, in questo caso, in quanto </w:t>
      </w:r>
      <w:r>
        <w:rPr>
          <w:rFonts w:ascii="Arial" w:eastAsia="Arial" w:hAnsi="Arial" w:cs="Arial"/>
          <w:sz w:val="20"/>
          <w:szCs w:val="20"/>
          <w:lang w:val="it-IT"/>
        </w:rPr>
        <w:t>tale sito</w:t>
      </w:r>
      <w:r w:rsidRPr="00C1704B">
        <w:rPr>
          <w:rFonts w:ascii="Arial" w:eastAsia="Arial" w:hAnsi="Arial" w:cs="Arial"/>
          <w:sz w:val="20"/>
          <w:szCs w:val="20"/>
          <w:lang w:val="it-IT"/>
        </w:rPr>
        <w:t xml:space="preserve"> si estendeva </w:t>
      </w:r>
      <w:r>
        <w:rPr>
          <w:rFonts w:ascii="Arial" w:eastAsia="Arial" w:hAnsi="Arial" w:cs="Arial"/>
          <w:sz w:val="20"/>
          <w:szCs w:val="20"/>
          <w:lang w:val="it-IT"/>
        </w:rPr>
        <w:t xml:space="preserve">in effetti </w:t>
      </w:r>
      <w:r w:rsidRPr="00C1704B">
        <w:rPr>
          <w:rFonts w:ascii="Arial" w:eastAsia="Arial" w:hAnsi="Arial" w:cs="Arial"/>
          <w:sz w:val="20"/>
          <w:szCs w:val="20"/>
          <w:lang w:val="it-IT"/>
        </w:rPr>
        <w:t xml:space="preserve">in vari comuni. Il punto specifico fu prescelto perché qui erano visibili sia l’archeologia sia la caratteristica torbiera a tappeto naturale, il tutto in un luogo spettacolare in cima a scogliere di oltre cento metri d’altezza. Fu inoltre istituito un comitato per </w:t>
      </w:r>
      <w:r w:rsidRPr="007C2D5A">
        <w:rPr>
          <w:rFonts w:ascii="Arial" w:eastAsia="Arial" w:hAnsi="Arial" w:cs="Arial"/>
          <w:i/>
          <w:sz w:val="20"/>
          <w:szCs w:val="20"/>
          <w:lang w:val="it-IT"/>
        </w:rPr>
        <w:t>Céide Fields</w:t>
      </w:r>
      <w:r w:rsidRPr="00C1704B">
        <w:rPr>
          <w:rFonts w:ascii="Arial" w:eastAsia="Arial" w:hAnsi="Arial" w:cs="Arial"/>
          <w:sz w:val="20"/>
          <w:szCs w:val="20"/>
          <w:lang w:val="it-IT"/>
        </w:rPr>
        <w:t xml:space="preserve"> con rappresentanti di tutto il Mayo settentrionale. Il progetto fu accolto con grande entusiasmo da tutte le comunità della zona, che organizzarono varie attività di raccolta fondi. L’iniziativa fu inoltre sostenuta da numerose imprese, piccole e grandi, e da tutti gli enti pubblici interessati, come il Consiglio della contea di Mayo e il Bórd Fáilte. Nel 1990 si attivò anche l’Office of Public Works (OPW) che si fece carico della progettazione del centro visitatori. La fondazione di </w:t>
      </w:r>
      <w:r w:rsidRPr="007C2D5A">
        <w:rPr>
          <w:rFonts w:ascii="Arial" w:eastAsia="Arial" w:hAnsi="Arial" w:cs="Arial"/>
          <w:i/>
          <w:sz w:val="20"/>
          <w:szCs w:val="20"/>
          <w:lang w:val="it-IT"/>
        </w:rPr>
        <w:t>Céide Fields</w:t>
      </w:r>
      <w:r w:rsidRPr="00C1704B">
        <w:rPr>
          <w:rFonts w:ascii="Arial" w:eastAsia="Arial" w:hAnsi="Arial" w:cs="Arial"/>
          <w:sz w:val="20"/>
          <w:szCs w:val="20"/>
          <w:lang w:val="it-IT"/>
        </w:rPr>
        <w:t xml:space="preserve"> rappresenta un eccellente esempio di cooperazione tra comunità locali,</w:t>
      </w:r>
      <w:r>
        <w:rPr>
          <w:rFonts w:ascii="Arial" w:eastAsia="Arial" w:hAnsi="Arial" w:cs="Arial"/>
          <w:sz w:val="20"/>
          <w:szCs w:val="20"/>
          <w:lang w:val="it-IT"/>
        </w:rPr>
        <w:t xml:space="preserve"> enti pubblici e</w:t>
      </w:r>
      <w:r w:rsidRPr="00C1704B">
        <w:rPr>
          <w:rFonts w:ascii="Arial" w:eastAsia="Arial" w:hAnsi="Arial" w:cs="Arial"/>
          <w:sz w:val="20"/>
          <w:szCs w:val="20"/>
          <w:lang w:val="it-IT"/>
        </w:rPr>
        <w:t xml:space="preserve"> imprese private.</w:t>
      </w:r>
    </w:p>
    <w:p w14:paraId="5C3726CC" w14:textId="3A7D4135" w:rsidR="00610A26" w:rsidRPr="00C1704B" w:rsidRDefault="00610A26" w:rsidP="00610A26">
      <w:pPr>
        <w:pStyle w:val="western"/>
        <w:spacing w:before="0" w:after="0" w:line="240" w:lineRule="exact"/>
        <w:jc w:val="both"/>
        <w:rPr>
          <w:rFonts w:ascii="Arial" w:hAnsi="Arial" w:cs="Arial"/>
          <w:sz w:val="20"/>
          <w:szCs w:val="20"/>
        </w:rPr>
      </w:pPr>
      <w:r>
        <w:rPr>
          <w:rFonts w:ascii="Arial" w:eastAsia="Arial" w:hAnsi="Arial" w:cs="Arial"/>
          <w:sz w:val="20"/>
          <w:szCs w:val="20"/>
          <w:lang w:val="it-IT"/>
        </w:rPr>
        <w:tab/>
      </w:r>
      <w:r w:rsidRPr="00C1704B">
        <w:rPr>
          <w:rFonts w:ascii="Arial" w:eastAsia="Arial" w:hAnsi="Arial" w:cs="Arial"/>
          <w:sz w:val="20"/>
          <w:szCs w:val="20"/>
          <w:lang w:val="it-IT"/>
        </w:rPr>
        <w:t>Progettare</w:t>
      </w:r>
      <w:r>
        <w:rPr>
          <w:rFonts w:ascii="Arial" w:eastAsia="Arial" w:hAnsi="Arial" w:cs="Arial"/>
          <w:sz w:val="20"/>
          <w:szCs w:val="20"/>
          <w:lang w:val="it-IT"/>
        </w:rPr>
        <w:t xml:space="preserve"> un edificio che fosse adatto a</w:t>
      </w:r>
      <w:r w:rsidRPr="00C1704B">
        <w:rPr>
          <w:rFonts w:ascii="Arial" w:eastAsia="Arial" w:hAnsi="Arial" w:cs="Arial"/>
          <w:sz w:val="20"/>
          <w:szCs w:val="20"/>
          <w:lang w:val="it-IT"/>
        </w:rPr>
        <w:t xml:space="preserve"> un ambiente naturale tanto delicato e incontaminato rappresentò una vera sfida. Il progetto prescelto fu una piramide costruita sulle pendici della collina che, nelle parole dell’architetto Mary MacKenna, </w:t>
      </w:r>
      <w:r w:rsidR="007C2D5A">
        <w:rPr>
          <w:rFonts w:ascii="Arial" w:eastAsia="Arial" w:hAnsi="Arial" w:cs="Arial"/>
          <w:sz w:val="20"/>
          <w:szCs w:val="20"/>
          <w:lang w:val="it-IT"/>
        </w:rPr>
        <w:t>«</w:t>
      </w:r>
      <w:r w:rsidRPr="00C1704B">
        <w:rPr>
          <w:rFonts w:ascii="Arial" w:eastAsia="Arial" w:hAnsi="Arial" w:cs="Arial"/>
          <w:sz w:val="20"/>
          <w:szCs w:val="20"/>
          <w:lang w:val="it-IT"/>
        </w:rPr>
        <w:t>emerge in parte dalla coltre di torba, come un reperto arc</w:t>
      </w:r>
      <w:r>
        <w:rPr>
          <w:rFonts w:ascii="Arial" w:eastAsia="Arial" w:hAnsi="Arial" w:cs="Arial"/>
          <w:sz w:val="20"/>
          <w:szCs w:val="20"/>
          <w:lang w:val="it-IT"/>
        </w:rPr>
        <w:t>heologico nascosto nel terreno</w:t>
      </w:r>
      <w:r w:rsidR="007C2D5A">
        <w:rPr>
          <w:rFonts w:ascii="Arial" w:eastAsia="Arial" w:hAnsi="Arial" w:cs="Arial"/>
          <w:sz w:val="20"/>
          <w:szCs w:val="20"/>
          <w:lang w:val="it-IT"/>
        </w:rPr>
        <w:t>»</w:t>
      </w:r>
      <w:r>
        <w:rPr>
          <w:rFonts w:ascii="Arial" w:eastAsia="Arial" w:hAnsi="Arial" w:cs="Arial"/>
          <w:sz w:val="20"/>
          <w:szCs w:val="20"/>
          <w:lang w:val="it-IT"/>
        </w:rPr>
        <w:t xml:space="preserve"> (</w:t>
      </w:r>
      <w:r w:rsidRPr="00C1704B">
        <w:rPr>
          <w:rFonts w:ascii="Arial" w:eastAsia="Arial" w:hAnsi="Arial" w:cs="Arial"/>
          <w:caps/>
          <w:sz w:val="20"/>
          <w:szCs w:val="20"/>
          <w:lang w:val="it-IT"/>
        </w:rPr>
        <w:t>M</w:t>
      </w:r>
      <w:r>
        <w:rPr>
          <w:rFonts w:ascii="Arial" w:eastAsia="Arial" w:hAnsi="Arial" w:cs="Arial"/>
          <w:smallCaps/>
          <w:sz w:val="20"/>
          <w:szCs w:val="20"/>
          <w:lang w:val="it-IT"/>
        </w:rPr>
        <w:t>acK</w:t>
      </w:r>
      <w:r w:rsidRPr="00C1704B">
        <w:rPr>
          <w:rFonts w:ascii="Arial" w:eastAsia="Arial" w:hAnsi="Arial" w:cs="Arial"/>
          <w:smallCaps/>
          <w:sz w:val="20"/>
          <w:szCs w:val="20"/>
          <w:lang w:val="it-IT"/>
        </w:rPr>
        <w:t xml:space="preserve">enna </w:t>
      </w:r>
      <w:r w:rsidRPr="00C1704B">
        <w:rPr>
          <w:rFonts w:ascii="Arial" w:eastAsia="Arial" w:hAnsi="Arial" w:cs="Arial"/>
          <w:sz w:val="20"/>
          <w:szCs w:val="20"/>
          <w:lang w:val="it-IT"/>
        </w:rPr>
        <w:t>1998</w:t>
      </w:r>
      <w:r>
        <w:rPr>
          <w:rFonts w:ascii="Arial" w:eastAsia="Arial" w:hAnsi="Arial" w:cs="Arial"/>
          <w:sz w:val="20"/>
          <w:szCs w:val="20"/>
          <w:lang w:val="it-IT"/>
        </w:rPr>
        <w:t>)</w:t>
      </w:r>
      <w:r w:rsidRPr="00C1704B">
        <w:rPr>
          <w:rFonts w:ascii="Arial" w:eastAsia="Arial" w:hAnsi="Arial" w:cs="Arial"/>
          <w:sz w:val="20"/>
          <w:szCs w:val="20"/>
          <w:lang w:val="it-IT"/>
        </w:rPr>
        <w:t>. Da una ce</w:t>
      </w:r>
      <w:r>
        <w:rPr>
          <w:rFonts w:ascii="Arial" w:eastAsia="Arial" w:hAnsi="Arial" w:cs="Arial"/>
          <w:sz w:val="20"/>
          <w:szCs w:val="20"/>
          <w:lang w:val="it-IT"/>
        </w:rPr>
        <w:t xml:space="preserve">rta distanza, essa ricorda il profilo </w:t>
      </w:r>
      <w:r w:rsidRPr="00C1704B">
        <w:rPr>
          <w:rFonts w:ascii="Arial" w:eastAsia="Arial" w:hAnsi="Arial" w:cs="Arial"/>
          <w:sz w:val="20"/>
          <w:szCs w:val="20"/>
          <w:lang w:val="it-IT"/>
        </w:rPr>
        <w:t xml:space="preserve">degli Stags of Broadhaven, un gruppo di isole di forma piramidale visibili a occidente. Inoltre, riporta alla mente il Croagh Patrick, una montagna del Mayo che era già un luogo sacro ben prima che la sua associazione a San Patrizio </w:t>
      </w:r>
      <w:r>
        <w:rPr>
          <w:rFonts w:ascii="Arial" w:eastAsia="Arial" w:hAnsi="Arial" w:cs="Arial"/>
          <w:sz w:val="20"/>
          <w:szCs w:val="20"/>
          <w:lang w:val="it-IT"/>
        </w:rPr>
        <w:t xml:space="preserve">la </w:t>
      </w:r>
      <w:r w:rsidRPr="00C1704B">
        <w:rPr>
          <w:rFonts w:ascii="Arial" w:eastAsia="Arial" w:hAnsi="Arial" w:cs="Arial"/>
          <w:sz w:val="20"/>
          <w:szCs w:val="20"/>
          <w:lang w:val="it-IT"/>
        </w:rPr>
        <w:t xml:space="preserve">rendesse il rilievo più emblematico e venerato </w:t>
      </w:r>
      <w:r>
        <w:rPr>
          <w:rFonts w:ascii="Arial" w:eastAsia="Arial" w:hAnsi="Arial" w:cs="Arial"/>
          <w:sz w:val="20"/>
          <w:szCs w:val="20"/>
          <w:lang w:val="it-IT"/>
        </w:rPr>
        <w:t xml:space="preserve">d’Irlanda. La lanterna </w:t>
      </w:r>
      <w:r w:rsidRPr="00C1704B">
        <w:rPr>
          <w:rFonts w:ascii="Arial" w:eastAsia="Arial" w:hAnsi="Arial" w:cs="Arial"/>
          <w:sz w:val="20"/>
          <w:szCs w:val="20"/>
          <w:lang w:val="it-IT"/>
        </w:rPr>
        <w:t xml:space="preserve">in vetro consente una vista panoramica a 360° sia dall’esterno sia dall’interno, un elemento molto vantaggioso se consideriamo le condizioni meteorologiche spesso ventose e piovose della costa atlantica. </w:t>
      </w:r>
      <w:r>
        <w:rPr>
          <w:rFonts w:ascii="Arial" w:eastAsia="Arial" w:hAnsi="Arial" w:cs="Arial"/>
          <w:sz w:val="20"/>
          <w:szCs w:val="20"/>
          <w:lang w:val="it-IT"/>
        </w:rPr>
        <w:tab/>
      </w:r>
      <w:r w:rsidRPr="00C1704B">
        <w:rPr>
          <w:rFonts w:ascii="Arial" w:eastAsia="Arial" w:hAnsi="Arial" w:cs="Arial"/>
          <w:sz w:val="20"/>
          <w:szCs w:val="20"/>
          <w:lang w:val="it-IT"/>
        </w:rPr>
        <w:t>L’edificio ha ricevuto numerosi premi di architettura, tra cui la Medaglia d’oro triennale del Royal Institute of the Architects</w:t>
      </w:r>
      <w:r>
        <w:rPr>
          <w:rFonts w:ascii="Arial" w:eastAsia="Arial" w:hAnsi="Arial" w:cs="Arial"/>
          <w:sz w:val="20"/>
          <w:szCs w:val="20"/>
          <w:lang w:val="it-IT"/>
        </w:rPr>
        <w:t xml:space="preserve"> of Ireland per l’edizione 1992-1994 e l'attestato di P</w:t>
      </w:r>
      <w:r w:rsidRPr="00C1704B">
        <w:rPr>
          <w:rFonts w:ascii="Arial" w:eastAsia="Arial" w:hAnsi="Arial" w:cs="Arial"/>
          <w:sz w:val="20"/>
          <w:szCs w:val="20"/>
          <w:lang w:val="it-IT"/>
        </w:rPr>
        <w:t>atrimonio architettonico e naturale “Europa Nostra”</w:t>
      </w:r>
      <w:r>
        <w:rPr>
          <w:rFonts w:ascii="Arial" w:eastAsia="Arial" w:hAnsi="Arial" w:cs="Arial"/>
          <w:sz w:val="20"/>
          <w:szCs w:val="20"/>
          <w:lang w:val="it-IT"/>
        </w:rPr>
        <w:t>,</w:t>
      </w:r>
      <w:r w:rsidRPr="00C1704B">
        <w:rPr>
          <w:rFonts w:ascii="Arial" w:eastAsia="Arial" w:hAnsi="Arial" w:cs="Arial"/>
          <w:sz w:val="20"/>
          <w:szCs w:val="20"/>
          <w:lang w:val="it-IT"/>
        </w:rPr>
        <w:t xml:space="preserve"> “per l’ambiziosa costruzione di un nuovo edificio ricco d’immaginazione </w:t>
      </w:r>
      <w:r w:rsidRPr="00C1704B">
        <w:rPr>
          <w:rFonts w:ascii="Arial" w:eastAsia="Symbol" w:hAnsi="Arial" w:cs="Arial"/>
          <w:sz w:val="20"/>
          <w:szCs w:val="20"/>
          <w:lang w:val="it-IT"/>
        </w:rPr>
        <w:sym w:font="Symbol" w:char="F05B"/>
      </w:r>
      <w:r w:rsidRPr="00C1704B">
        <w:rPr>
          <w:rFonts w:ascii="Arial" w:eastAsia="Arial" w:hAnsi="Arial" w:cs="Arial"/>
          <w:sz w:val="20"/>
          <w:szCs w:val="20"/>
          <w:lang w:val="it-IT"/>
        </w:rPr>
        <w:t>...</w:t>
      </w:r>
      <w:r w:rsidRPr="00C1704B">
        <w:rPr>
          <w:rFonts w:ascii="Arial" w:eastAsia="Symbol" w:hAnsi="Arial" w:cs="Arial"/>
          <w:sz w:val="20"/>
          <w:szCs w:val="20"/>
          <w:lang w:val="it-IT"/>
        </w:rPr>
        <w:sym w:font="Symbol" w:char="F05D"/>
      </w:r>
      <w:r w:rsidRPr="00C1704B">
        <w:rPr>
          <w:rFonts w:ascii="Arial" w:eastAsia="Arial" w:hAnsi="Arial" w:cs="Arial"/>
          <w:sz w:val="20"/>
          <w:szCs w:val="20"/>
          <w:lang w:val="it-IT"/>
        </w:rPr>
        <w:t xml:space="preserve"> in un ambiente tanto delicato quanto straordinario”. La natura monumentale dell’edificio aiuta a compensare la relativa poca chiarezza dei ritrovamenti archeologici.</w:t>
      </w:r>
    </w:p>
    <w:p w14:paraId="4AD83A53" w14:textId="24C8A982" w:rsidR="00610A26" w:rsidRPr="00C1704B" w:rsidRDefault="00610A26" w:rsidP="00610A26">
      <w:pPr>
        <w:pStyle w:val="western"/>
        <w:spacing w:before="0" w:after="0" w:line="240" w:lineRule="exact"/>
        <w:jc w:val="both"/>
        <w:rPr>
          <w:rFonts w:ascii="Arial" w:hAnsi="Arial" w:cs="Arial"/>
          <w:sz w:val="20"/>
          <w:szCs w:val="20"/>
        </w:rPr>
      </w:pPr>
      <w:r>
        <w:rPr>
          <w:rFonts w:ascii="Arial" w:eastAsia="Arial" w:hAnsi="Arial" w:cs="Arial"/>
          <w:sz w:val="20"/>
          <w:szCs w:val="20"/>
          <w:lang w:val="it-IT"/>
        </w:rPr>
        <w:lastRenderedPageBreak/>
        <w:tab/>
      </w:r>
      <w:r w:rsidRPr="00C1704B">
        <w:rPr>
          <w:rFonts w:ascii="Arial" w:eastAsia="Arial" w:hAnsi="Arial" w:cs="Arial"/>
          <w:sz w:val="20"/>
          <w:szCs w:val="20"/>
          <w:lang w:val="it-IT"/>
        </w:rPr>
        <w:t xml:space="preserve">All’interno dell’edificio, </w:t>
      </w:r>
      <w:r>
        <w:rPr>
          <w:rFonts w:ascii="Arial" w:eastAsia="Arial" w:hAnsi="Arial" w:cs="Arial"/>
          <w:sz w:val="20"/>
          <w:szCs w:val="20"/>
          <w:lang w:val="it-IT"/>
        </w:rPr>
        <w:t>l'elemento saliente</w:t>
      </w:r>
      <w:r w:rsidRPr="00C1704B">
        <w:rPr>
          <w:rFonts w:ascii="Arial" w:eastAsia="Arial" w:hAnsi="Arial" w:cs="Arial"/>
          <w:sz w:val="20"/>
          <w:szCs w:val="20"/>
          <w:lang w:val="it-IT"/>
        </w:rPr>
        <w:t xml:space="preserve"> è un</w:t>
      </w:r>
      <w:r>
        <w:rPr>
          <w:rFonts w:ascii="Arial" w:eastAsia="Arial" w:hAnsi="Arial" w:cs="Arial"/>
          <w:sz w:val="20"/>
          <w:szCs w:val="20"/>
          <w:lang w:val="it-IT"/>
        </w:rPr>
        <w:t xml:space="preserve"> tronco di</w:t>
      </w:r>
      <w:r w:rsidRPr="00C1704B">
        <w:rPr>
          <w:rFonts w:ascii="Arial" w:eastAsia="Arial" w:hAnsi="Arial" w:cs="Arial"/>
          <w:sz w:val="20"/>
          <w:szCs w:val="20"/>
          <w:lang w:val="it-IT"/>
        </w:rPr>
        <w:t xml:space="preserve"> pino di 4</w:t>
      </w:r>
      <w:r>
        <w:rPr>
          <w:rFonts w:ascii="Arial" w:eastAsia="Arial" w:hAnsi="Arial" w:cs="Arial"/>
          <w:sz w:val="20"/>
          <w:szCs w:val="20"/>
          <w:lang w:val="it-IT"/>
        </w:rPr>
        <w:t>.</w:t>
      </w:r>
      <w:r w:rsidRPr="00C1704B">
        <w:rPr>
          <w:rFonts w:ascii="Arial" w:eastAsia="Arial" w:hAnsi="Arial" w:cs="Arial"/>
          <w:sz w:val="20"/>
          <w:szCs w:val="20"/>
          <w:lang w:val="it-IT"/>
        </w:rPr>
        <w:t xml:space="preserve">500 anni splendidamente lavorato da Michael Casey, </w:t>
      </w:r>
      <w:r w:rsidR="007C2D5A">
        <w:rPr>
          <w:rFonts w:ascii="Arial" w:eastAsia="Arial" w:hAnsi="Arial" w:cs="Arial"/>
          <w:sz w:val="20"/>
          <w:szCs w:val="20"/>
          <w:lang w:val="it-IT"/>
        </w:rPr>
        <w:t>«</w:t>
      </w:r>
      <w:r w:rsidRPr="00C1704B">
        <w:rPr>
          <w:rFonts w:ascii="Arial" w:eastAsia="Arial" w:hAnsi="Arial" w:cs="Arial"/>
          <w:sz w:val="20"/>
          <w:szCs w:val="20"/>
          <w:lang w:val="it-IT"/>
        </w:rPr>
        <w:t>un enorme totem levigato che attira le carezze di tutti</w:t>
      </w:r>
      <w:r w:rsidR="007C2D5A">
        <w:rPr>
          <w:rFonts w:ascii="Arial" w:eastAsia="Arial" w:hAnsi="Arial" w:cs="Arial"/>
          <w:sz w:val="20"/>
          <w:szCs w:val="20"/>
          <w:lang w:val="it-IT"/>
        </w:rPr>
        <w:t>»</w:t>
      </w:r>
      <w:r w:rsidRPr="00C1704B">
        <w:rPr>
          <w:rFonts w:ascii="Arial" w:eastAsia="Arial" w:hAnsi="Arial" w:cs="Arial"/>
          <w:sz w:val="20"/>
          <w:szCs w:val="20"/>
          <w:lang w:val="it-IT"/>
        </w:rPr>
        <w:t>,</w:t>
      </w:r>
      <w:r>
        <w:rPr>
          <w:rFonts w:ascii="Arial" w:eastAsia="Arial" w:hAnsi="Arial" w:cs="Arial"/>
          <w:sz w:val="20"/>
          <w:szCs w:val="20"/>
          <w:lang w:val="it-IT"/>
        </w:rPr>
        <w:t xml:space="preserve"> Michael Viney (</w:t>
      </w:r>
      <w:r w:rsidRPr="00C1704B">
        <w:rPr>
          <w:rFonts w:ascii="Arial" w:eastAsia="Arial" w:hAnsi="Arial" w:cs="Arial"/>
          <w:sz w:val="20"/>
          <w:szCs w:val="20"/>
          <w:lang w:val="it-IT"/>
        </w:rPr>
        <w:t>citato in C</w:t>
      </w:r>
      <w:r w:rsidRPr="00C1704B">
        <w:rPr>
          <w:rFonts w:ascii="Arial" w:eastAsia="Arial" w:hAnsi="Arial" w:cs="Arial"/>
          <w:smallCaps/>
          <w:sz w:val="20"/>
          <w:szCs w:val="20"/>
          <w:lang w:val="it-IT"/>
        </w:rPr>
        <w:t>asey</w:t>
      </w:r>
      <w:r w:rsidRPr="00C1704B">
        <w:rPr>
          <w:rFonts w:ascii="Arial" w:eastAsia="Arial" w:hAnsi="Arial" w:cs="Arial"/>
          <w:sz w:val="20"/>
          <w:szCs w:val="20"/>
          <w:lang w:val="it-IT"/>
        </w:rPr>
        <w:t xml:space="preserve"> 2004</w:t>
      </w:r>
      <w:r>
        <w:rPr>
          <w:rFonts w:ascii="Arial" w:eastAsia="Arial" w:hAnsi="Arial" w:cs="Arial"/>
          <w:sz w:val="20"/>
          <w:szCs w:val="20"/>
          <w:lang w:val="it-IT"/>
        </w:rPr>
        <w:t>,</w:t>
      </w:r>
      <w:r w:rsidRPr="00C1704B">
        <w:rPr>
          <w:rFonts w:ascii="Arial" w:eastAsia="Arial" w:hAnsi="Arial" w:cs="Arial"/>
          <w:sz w:val="20"/>
          <w:szCs w:val="20"/>
          <w:lang w:val="it-IT"/>
        </w:rPr>
        <w:t xml:space="preserve"> p. 23</w:t>
      </w:r>
      <w:r>
        <w:rPr>
          <w:rFonts w:ascii="Arial" w:eastAsia="Arial" w:hAnsi="Arial" w:cs="Arial"/>
          <w:sz w:val="20"/>
          <w:szCs w:val="20"/>
          <w:lang w:val="it-IT"/>
        </w:rPr>
        <w:t>)</w:t>
      </w:r>
      <w:r w:rsidRPr="00C1704B">
        <w:rPr>
          <w:rFonts w:ascii="Arial" w:eastAsia="Arial" w:hAnsi="Arial" w:cs="Arial"/>
          <w:sz w:val="20"/>
          <w:szCs w:val="20"/>
          <w:lang w:val="it-IT"/>
        </w:rPr>
        <w:t>.</w:t>
      </w:r>
      <w:r>
        <w:rPr>
          <w:rFonts w:ascii="Arial" w:eastAsia="Arial" w:hAnsi="Arial" w:cs="Arial"/>
          <w:sz w:val="20"/>
          <w:szCs w:val="20"/>
          <w:lang w:val="it-IT"/>
        </w:rPr>
        <w:t xml:space="preserve"> </w:t>
      </w:r>
      <w:r w:rsidRPr="00C1704B">
        <w:rPr>
          <w:rFonts w:ascii="Arial" w:eastAsia="Arial" w:hAnsi="Arial" w:cs="Arial"/>
          <w:sz w:val="20"/>
          <w:szCs w:val="20"/>
          <w:lang w:val="it-IT"/>
        </w:rPr>
        <w:t xml:space="preserve">Esso fu riportato alla luce a Belderrig dal padre di Seamas Caulfield, Patrick, durante il taglio della torba. Proveniente da un bosco di pini cresciuto sulla torba durante una fase climatica più secca, </w:t>
      </w:r>
      <w:r>
        <w:rPr>
          <w:rFonts w:ascii="Arial" w:eastAsia="Arial" w:hAnsi="Arial" w:cs="Arial"/>
          <w:sz w:val="20"/>
          <w:szCs w:val="20"/>
          <w:lang w:val="it-IT"/>
        </w:rPr>
        <w:t>appartiene alle</w:t>
      </w:r>
      <w:r w:rsidRPr="00C1704B">
        <w:rPr>
          <w:rFonts w:ascii="Arial" w:eastAsia="Arial" w:hAnsi="Arial" w:cs="Arial"/>
          <w:sz w:val="20"/>
          <w:szCs w:val="20"/>
          <w:lang w:val="it-IT"/>
        </w:rPr>
        <w:t xml:space="preserve"> varie decine di alberi datati al radiocarbonio per </w:t>
      </w:r>
      <w:r>
        <w:rPr>
          <w:rFonts w:ascii="Arial" w:eastAsia="Arial" w:hAnsi="Arial" w:cs="Arial"/>
          <w:sz w:val="20"/>
          <w:szCs w:val="20"/>
          <w:lang w:val="it-IT"/>
        </w:rPr>
        <w:t>verificare</w:t>
      </w:r>
      <w:r w:rsidRPr="00C1704B">
        <w:rPr>
          <w:rFonts w:ascii="Arial" w:eastAsia="Arial" w:hAnsi="Arial" w:cs="Arial"/>
          <w:sz w:val="20"/>
          <w:szCs w:val="20"/>
          <w:lang w:val="it-IT"/>
        </w:rPr>
        <w:t xml:space="preserve"> la datazione </w:t>
      </w:r>
      <w:r>
        <w:rPr>
          <w:rFonts w:ascii="Arial" w:eastAsia="Arial" w:hAnsi="Arial" w:cs="Arial"/>
          <w:sz w:val="20"/>
          <w:szCs w:val="20"/>
          <w:lang w:val="it-IT"/>
        </w:rPr>
        <w:t xml:space="preserve">all'età </w:t>
      </w:r>
      <w:r w:rsidRPr="00C1704B">
        <w:rPr>
          <w:rFonts w:ascii="Arial" w:eastAsia="Arial" w:hAnsi="Arial" w:cs="Arial"/>
          <w:sz w:val="20"/>
          <w:szCs w:val="20"/>
          <w:lang w:val="it-IT"/>
        </w:rPr>
        <w:t xml:space="preserve">neolitica dei muretti </w:t>
      </w:r>
      <w:r>
        <w:rPr>
          <w:rFonts w:ascii="Arial" w:eastAsia="Arial" w:hAnsi="Arial" w:cs="Arial"/>
          <w:sz w:val="20"/>
          <w:szCs w:val="20"/>
          <w:lang w:val="it-IT"/>
        </w:rPr>
        <w:t>di pietre ricoperti dalla torba (</w:t>
      </w:r>
      <w:r w:rsidRPr="00C1704B">
        <w:rPr>
          <w:rFonts w:ascii="Arial" w:eastAsia="Arial" w:hAnsi="Arial" w:cs="Arial"/>
          <w:smallCaps/>
          <w:sz w:val="20"/>
          <w:szCs w:val="20"/>
          <w:lang w:val="it-IT"/>
        </w:rPr>
        <w:t>Caulfield</w:t>
      </w:r>
      <w:r w:rsidRPr="00C1704B">
        <w:rPr>
          <w:rFonts w:ascii="Arial" w:eastAsia="Arial" w:hAnsi="Arial" w:cs="Arial"/>
          <w:sz w:val="20"/>
          <w:szCs w:val="20"/>
          <w:lang w:val="it-IT"/>
        </w:rPr>
        <w:t xml:space="preserve"> et al</w:t>
      </w:r>
      <w:r>
        <w:rPr>
          <w:rFonts w:ascii="Arial" w:eastAsia="Arial" w:hAnsi="Arial" w:cs="Arial"/>
          <w:sz w:val="20"/>
          <w:szCs w:val="20"/>
          <w:lang w:val="it-IT"/>
        </w:rPr>
        <w:t>.</w:t>
      </w:r>
      <w:r w:rsidRPr="00C1704B">
        <w:rPr>
          <w:rFonts w:ascii="Arial" w:eastAsia="Arial" w:hAnsi="Arial" w:cs="Arial"/>
          <w:sz w:val="20"/>
          <w:szCs w:val="20"/>
          <w:lang w:val="it-IT"/>
        </w:rPr>
        <w:t xml:space="preserve"> 1998</w:t>
      </w:r>
      <w:r>
        <w:rPr>
          <w:rFonts w:ascii="Arial" w:eastAsia="Arial" w:hAnsi="Arial" w:cs="Arial"/>
          <w:sz w:val="20"/>
          <w:szCs w:val="20"/>
          <w:lang w:val="it-IT"/>
        </w:rPr>
        <w:t>)</w:t>
      </w:r>
      <w:r w:rsidRPr="00C1704B">
        <w:rPr>
          <w:rFonts w:ascii="Arial" w:eastAsia="Arial" w:hAnsi="Arial" w:cs="Arial"/>
          <w:sz w:val="20"/>
          <w:szCs w:val="20"/>
          <w:lang w:val="it-IT"/>
        </w:rPr>
        <w:t xml:space="preserve">. </w:t>
      </w:r>
    </w:p>
    <w:p w14:paraId="6442504D" w14:textId="77777777" w:rsidR="00610A26" w:rsidRPr="00C1704B" w:rsidRDefault="00610A26" w:rsidP="00610A26">
      <w:pPr>
        <w:pStyle w:val="temp"/>
        <w:spacing w:before="0" w:line="240" w:lineRule="exact"/>
        <w:jc w:val="both"/>
        <w:rPr>
          <w:sz w:val="20"/>
          <w:szCs w:val="20"/>
        </w:rPr>
      </w:pPr>
      <w:r>
        <w:rPr>
          <w:rFonts w:eastAsia="Arial"/>
          <w:sz w:val="20"/>
          <w:szCs w:val="20"/>
          <w:lang w:val="it-IT"/>
        </w:rPr>
        <w:tab/>
      </w:r>
      <w:r w:rsidRPr="00C1704B">
        <w:rPr>
          <w:rFonts w:eastAsia="Arial"/>
          <w:sz w:val="20"/>
          <w:szCs w:val="20"/>
          <w:lang w:val="it-IT"/>
        </w:rPr>
        <w:t xml:space="preserve">Il centro visitatori è suddiviso in tre aree tematiche principali. La prima, al piano terra, è dedicata al paesaggio naturale contemporaneo della torbiera a tappeto e all’evoluzione ambientale di questa zona nel corso dei millenni. La seconda </w:t>
      </w:r>
      <w:r w:rsidRPr="00C1704B">
        <w:rPr>
          <w:sz w:val="20"/>
          <w:szCs w:val="20"/>
          <w:lang w:val="it-IT"/>
        </w:rPr>
        <w:t>area approfondisce la traccia lasciata sul paesaggio dalla presenza umana,</w:t>
      </w:r>
      <w:r w:rsidRPr="00C1704B" w:rsidDel="00971F65">
        <w:rPr>
          <w:rFonts w:eastAsia="Arial"/>
          <w:sz w:val="20"/>
          <w:szCs w:val="20"/>
          <w:lang w:val="it-IT"/>
        </w:rPr>
        <w:t xml:space="preserve"> </w:t>
      </w:r>
      <w:r w:rsidRPr="00C1704B">
        <w:rPr>
          <w:rFonts w:eastAsia="Arial"/>
          <w:sz w:val="20"/>
          <w:szCs w:val="20"/>
          <w:lang w:val="it-IT"/>
        </w:rPr>
        <w:t xml:space="preserve">con le scoperte archeologiche della casa neolitica rettangolare di Ballyglass, della tomba a corte di Behy e dei relativi sistemi di campi. </w:t>
      </w:r>
      <w:r>
        <w:rPr>
          <w:rFonts w:eastAsia="Arial"/>
          <w:sz w:val="20"/>
          <w:szCs w:val="20"/>
          <w:lang w:val="it-IT"/>
        </w:rPr>
        <w:t>Al mezzanino</w:t>
      </w:r>
      <w:r w:rsidRPr="00C1704B">
        <w:rPr>
          <w:rFonts w:eastAsia="Arial"/>
          <w:sz w:val="20"/>
          <w:szCs w:val="20"/>
          <w:lang w:val="it-IT"/>
        </w:rPr>
        <w:t xml:space="preserve"> viene presentata la variegata geologia che caratterizza la spettacolare costa del Mayo settentrionale, assieme alla storia dell’era glaciale della zona che ha dato origine a numerose formazioni geologiche. Inoltre, vi è un filmato introduttivo su questi argomenti della durata di venti minuti. </w:t>
      </w:r>
    </w:p>
    <w:p w14:paraId="5F0F851E" w14:textId="77777777" w:rsidR="00610A26" w:rsidRPr="00C1704B" w:rsidRDefault="00610A26" w:rsidP="00610A26">
      <w:pPr>
        <w:pStyle w:val="temp"/>
        <w:spacing w:before="0" w:line="240" w:lineRule="exact"/>
        <w:jc w:val="both"/>
        <w:rPr>
          <w:sz w:val="20"/>
          <w:szCs w:val="20"/>
        </w:rPr>
      </w:pPr>
      <w:r>
        <w:rPr>
          <w:rFonts w:eastAsia="Arial"/>
          <w:sz w:val="20"/>
          <w:szCs w:val="20"/>
          <w:lang w:val="it-IT"/>
        </w:rPr>
        <w:tab/>
      </w:r>
      <w:r w:rsidRPr="00C1704B">
        <w:rPr>
          <w:rFonts w:eastAsia="Arial"/>
          <w:sz w:val="20"/>
          <w:szCs w:val="20"/>
          <w:lang w:val="it-IT"/>
        </w:rPr>
        <w:t xml:space="preserve">L’esperienza più significativa di </w:t>
      </w:r>
      <w:r w:rsidRPr="007C2D5A">
        <w:rPr>
          <w:rFonts w:eastAsia="Arial"/>
          <w:i/>
          <w:sz w:val="20"/>
          <w:szCs w:val="20"/>
          <w:lang w:val="it-IT"/>
        </w:rPr>
        <w:t>Céide Fields</w:t>
      </w:r>
      <w:r w:rsidRPr="00C1704B">
        <w:rPr>
          <w:rFonts w:eastAsia="Arial"/>
          <w:sz w:val="20"/>
          <w:szCs w:val="20"/>
          <w:lang w:val="it-IT"/>
        </w:rPr>
        <w:t xml:space="preserve">, tuttavia, è la visita all’aperto condotta dalle guide del Visitor Centre. </w:t>
      </w:r>
      <w:r w:rsidRPr="00C1704B">
        <w:rPr>
          <w:sz w:val="20"/>
          <w:szCs w:val="20"/>
          <w:lang w:val="it-IT"/>
        </w:rPr>
        <w:t>Considerato l'impatto visivo ridotto dei reperti archeologici, che consistono principalmente di muri di pietre crollati, molti dei quali ancora nascosti sotto alla torba, il sito deve il suo fascino alla sua storia e alla capacità delle guide di riportarla in vita.</w:t>
      </w:r>
      <w:r w:rsidRPr="00C1704B">
        <w:rPr>
          <w:rFonts w:eastAsia="Arial"/>
          <w:sz w:val="20"/>
          <w:szCs w:val="20"/>
          <w:lang w:val="it-IT"/>
        </w:rPr>
        <w:t xml:space="preserve"> I visitatori hanno la possibilità di </w:t>
      </w:r>
      <w:r>
        <w:rPr>
          <w:rFonts w:eastAsia="Arial"/>
          <w:sz w:val="20"/>
          <w:szCs w:val="20"/>
          <w:lang w:val="it-IT"/>
        </w:rPr>
        <w:t>sperimentare</w:t>
      </w:r>
      <w:r w:rsidRPr="00C1704B">
        <w:rPr>
          <w:rFonts w:eastAsia="Arial"/>
          <w:sz w:val="20"/>
          <w:szCs w:val="20"/>
          <w:lang w:val="it-IT"/>
        </w:rPr>
        <w:t xml:space="preserve"> la tecnica di sondaggio, di avvertire e sentire il rumore della sonda in ferro che sbatte contro un muro di pietre neolitico </w:t>
      </w:r>
      <w:r>
        <w:rPr>
          <w:rFonts w:eastAsia="Arial"/>
          <w:sz w:val="20"/>
          <w:szCs w:val="20"/>
          <w:lang w:val="it-IT"/>
        </w:rPr>
        <w:t>2</w:t>
      </w:r>
      <w:r w:rsidRPr="00C1704B">
        <w:rPr>
          <w:rFonts w:eastAsia="Arial"/>
          <w:sz w:val="20"/>
          <w:szCs w:val="20"/>
          <w:lang w:val="it-IT"/>
        </w:rPr>
        <w:t xml:space="preserve"> metri sotto il suolo, e di camminare tra muschi, eriche, licheni, fiori ed erbe caratteristici della torbiera.</w:t>
      </w:r>
    </w:p>
    <w:p w14:paraId="7172C65B" w14:textId="77777777" w:rsidR="00610A26" w:rsidRPr="00C1704B" w:rsidRDefault="00610A26" w:rsidP="00610A26">
      <w:pPr>
        <w:pStyle w:val="temp"/>
        <w:spacing w:before="0" w:line="240" w:lineRule="exact"/>
        <w:jc w:val="both"/>
        <w:rPr>
          <w:sz w:val="20"/>
          <w:szCs w:val="20"/>
        </w:rPr>
      </w:pPr>
      <w:r>
        <w:rPr>
          <w:sz w:val="20"/>
          <w:szCs w:val="20"/>
        </w:rPr>
        <w:tab/>
      </w:r>
      <w:r w:rsidRPr="00C1704B">
        <w:rPr>
          <w:rFonts w:eastAsia="Arial"/>
          <w:sz w:val="20"/>
          <w:szCs w:val="20"/>
          <w:lang w:val="it-IT"/>
        </w:rPr>
        <w:t xml:space="preserve">Circa il </w:t>
      </w:r>
      <w:r>
        <w:rPr>
          <w:rFonts w:eastAsia="Arial"/>
          <w:sz w:val="20"/>
          <w:szCs w:val="20"/>
          <w:lang w:val="it-IT"/>
        </w:rPr>
        <w:t>90</w:t>
      </w:r>
      <w:r w:rsidRPr="00C1704B">
        <w:rPr>
          <w:rFonts w:eastAsia="Arial"/>
          <w:sz w:val="20"/>
          <w:szCs w:val="20"/>
          <w:lang w:val="it-IT"/>
        </w:rPr>
        <w:t xml:space="preserve"> per cento degli oltre 30.000 visitatori che arrivano ogni anno al centro sono viaggiatori indipendenti, il che si confà perfettamente all’intenzione originale di creare un modello di turismo sostenibile, incoraggiando i viaggiatori a soffermarsi nella zona del Mayo settentrionale, con un impatto positivo sulle piccole attività commerciali locali. La metà del restante dieci per cento è costituita da comitive in gita d’istruzione, dalle scuole elementari all’università, mentre l’altra metà è composta da gruppi di interesse speciale, come società archeologiche e storiche. Recentemente, il centro ha ricevuto la designazione di Discovery Point lungo la </w:t>
      </w:r>
      <w:r>
        <w:rPr>
          <w:rFonts w:eastAsia="Arial"/>
          <w:sz w:val="20"/>
          <w:szCs w:val="20"/>
          <w:lang w:val="it-IT"/>
        </w:rPr>
        <w:t>nota</w:t>
      </w:r>
      <w:r w:rsidRPr="00C1704B">
        <w:rPr>
          <w:rFonts w:eastAsia="Arial"/>
          <w:sz w:val="20"/>
          <w:szCs w:val="20"/>
          <w:lang w:val="it-IT"/>
        </w:rPr>
        <w:t xml:space="preserve"> Wild Atlantic Way, un percorso di 2</w:t>
      </w:r>
      <w:r>
        <w:rPr>
          <w:rFonts w:eastAsia="Arial"/>
          <w:sz w:val="20"/>
          <w:szCs w:val="20"/>
          <w:lang w:val="it-IT"/>
        </w:rPr>
        <w:t>.</w:t>
      </w:r>
      <w:r w:rsidRPr="00C1704B">
        <w:rPr>
          <w:rFonts w:eastAsia="Arial"/>
          <w:sz w:val="20"/>
          <w:szCs w:val="20"/>
          <w:lang w:val="it-IT"/>
        </w:rPr>
        <w:t xml:space="preserve">500 chilometri lungo l’intera costa occidentale irlandese sviluppato da Fáilte Ireland con l’obiettivo di promuovere il turismo nelle regioni costiere rurali. Attualmente, l’Office of Public Works ha avviato un importante intervento di rinnovo delle </w:t>
      </w:r>
      <w:r>
        <w:rPr>
          <w:rFonts w:eastAsia="Arial"/>
          <w:sz w:val="20"/>
          <w:szCs w:val="20"/>
          <w:lang w:val="it-IT"/>
        </w:rPr>
        <w:t>sezioni espositive</w:t>
      </w:r>
      <w:r w:rsidRPr="00C1704B">
        <w:rPr>
          <w:rFonts w:eastAsia="Arial"/>
          <w:sz w:val="20"/>
          <w:szCs w:val="20"/>
          <w:lang w:val="it-IT"/>
        </w:rPr>
        <w:t xml:space="preserve"> all’interno del centro, con l’obiettivo di incorporare le ricerche più recenti che vanno ad aggiungersi alle nozioni già note sulla storia naturale e umana di questo territorio così straordinario e variegato.</w:t>
      </w:r>
    </w:p>
    <w:p w14:paraId="5B3097EE" w14:textId="77777777" w:rsidR="00610A26" w:rsidRPr="00C1704B" w:rsidRDefault="00610A26" w:rsidP="00610A26">
      <w:pPr>
        <w:pStyle w:val="temp"/>
        <w:spacing w:before="0" w:line="240" w:lineRule="exact"/>
        <w:jc w:val="both"/>
        <w:rPr>
          <w:sz w:val="20"/>
          <w:szCs w:val="20"/>
        </w:rPr>
      </w:pPr>
      <w:r>
        <w:rPr>
          <w:sz w:val="20"/>
          <w:szCs w:val="20"/>
        </w:rPr>
        <w:tab/>
      </w:r>
      <w:r w:rsidRPr="00C1704B">
        <w:rPr>
          <w:rFonts w:eastAsia="Arial"/>
          <w:sz w:val="20"/>
          <w:szCs w:val="20"/>
          <w:lang w:val="it-IT"/>
        </w:rPr>
        <w:t xml:space="preserve">A </w:t>
      </w:r>
      <w:r w:rsidRPr="007C2D5A">
        <w:rPr>
          <w:rFonts w:eastAsia="Arial"/>
          <w:i/>
          <w:sz w:val="20"/>
          <w:szCs w:val="20"/>
          <w:lang w:val="it-IT"/>
        </w:rPr>
        <w:t>Céide Fields</w:t>
      </w:r>
      <w:r w:rsidRPr="00C1704B">
        <w:rPr>
          <w:rFonts w:eastAsia="Arial"/>
          <w:sz w:val="20"/>
          <w:szCs w:val="20"/>
          <w:lang w:val="it-IT"/>
        </w:rPr>
        <w:t xml:space="preserve">, siamo da sempre convinti dell’importanza della collaborazione </w:t>
      </w:r>
      <w:r>
        <w:rPr>
          <w:rFonts w:eastAsia="Arial"/>
          <w:sz w:val="20"/>
          <w:szCs w:val="20"/>
          <w:lang w:val="it-IT"/>
        </w:rPr>
        <w:t>con le</w:t>
      </w:r>
      <w:r w:rsidRPr="00C1704B">
        <w:rPr>
          <w:rFonts w:eastAsia="Arial"/>
          <w:sz w:val="20"/>
          <w:szCs w:val="20"/>
          <w:lang w:val="it-IT"/>
        </w:rPr>
        <w:t xml:space="preserve"> comunità locali </w:t>
      </w:r>
      <w:r>
        <w:rPr>
          <w:rFonts w:eastAsia="Arial"/>
          <w:sz w:val="20"/>
          <w:szCs w:val="20"/>
          <w:lang w:val="it-IT"/>
        </w:rPr>
        <w:t xml:space="preserve">e </w:t>
      </w:r>
      <w:r w:rsidRPr="00C1704B">
        <w:rPr>
          <w:rFonts w:eastAsia="Arial"/>
          <w:sz w:val="20"/>
          <w:szCs w:val="20"/>
          <w:lang w:val="it-IT"/>
        </w:rPr>
        <w:t xml:space="preserve">con </w:t>
      </w:r>
      <w:r>
        <w:rPr>
          <w:rFonts w:eastAsia="Arial"/>
          <w:sz w:val="20"/>
          <w:szCs w:val="20"/>
          <w:lang w:val="it-IT"/>
        </w:rPr>
        <w:t>interlocutori e contesti più ampi</w:t>
      </w:r>
      <w:r w:rsidRPr="00C1704B">
        <w:rPr>
          <w:rFonts w:eastAsia="Arial"/>
          <w:sz w:val="20"/>
          <w:szCs w:val="20"/>
          <w:lang w:val="it-IT"/>
        </w:rPr>
        <w:t xml:space="preserve">, a vantaggio di tutti. </w:t>
      </w:r>
      <w:r w:rsidRPr="00C1704B">
        <w:rPr>
          <w:sz w:val="20"/>
          <w:szCs w:val="20"/>
          <w:lang w:val="it-IT"/>
        </w:rPr>
        <w:t>Solo alimentando nella comunità un senso di appartenenza e orgoglio nei confronti di questo patrimonio storico, come emerso chiaramente dal supporto locale manifestato in occasione della fondazione del centro, potremo garantire la sostenibilità a lungo termine sia del patrimonio culturale sia del turismo.</w:t>
      </w:r>
      <w:r w:rsidRPr="00C1704B">
        <w:rPr>
          <w:rFonts w:eastAsia="Arial"/>
          <w:sz w:val="20"/>
          <w:szCs w:val="20"/>
          <w:lang w:val="it-IT"/>
        </w:rPr>
        <w:t xml:space="preserve"> Il Visitor Centre, ad esempio, ha ospitato eventi culturali di grande interesse, tra cui concerti di musicisti locali e competizioni di “Céide Rose” organizzate nell’ambito dei festival di Ballycastle/Belderrig, mentre l’associazione atletica locale ha istituito delle gare su strada con partenza dal centro. Nel 2016, </w:t>
      </w:r>
      <w:r>
        <w:rPr>
          <w:rFonts w:eastAsia="Arial"/>
          <w:sz w:val="20"/>
          <w:szCs w:val="20"/>
          <w:lang w:val="it-IT"/>
        </w:rPr>
        <w:t xml:space="preserve">la celebre compagnia teatrale </w:t>
      </w:r>
      <w:r w:rsidRPr="00C1704B">
        <w:rPr>
          <w:rFonts w:eastAsia="Arial"/>
          <w:sz w:val="20"/>
          <w:szCs w:val="20"/>
          <w:lang w:val="it-IT"/>
        </w:rPr>
        <w:t>Druid Theatre si è esibita nello spettacolo “Aspettando Godot” in una vecchia cava all’aperto con vista sull’oceano, che ha offerto un palcoscenico naturale ricco di atmosfera. L’anno scorso è stato celebrato il primo matrimonio qui al centro, e, da</w:t>
      </w:r>
      <w:r>
        <w:rPr>
          <w:rFonts w:eastAsia="Arial"/>
          <w:sz w:val="20"/>
          <w:szCs w:val="20"/>
          <w:lang w:val="it-IT"/>
        </w:rPr>
        <w:t>to il contesto insolito, è stata</w:t>
      </w:r>
      <w:r w:rsidRPr="00C1704B">
        <w:rPr>
          <w:rFonts w:eastAsia="Arial"/>
          <w:sz w:val="20"/>
          <w:szCs w:val="20"/>
          <w:lang w:val="it-IT"/>
        </w:rPr>
        <w:t xml:space="preserve"> un</w:t>
      </w:r>
      <w:r>
        <w:rPr>
          <w:rFonts w:eastAsia="Arial"/>
          <w:sz w:val="20"/>
          <w:szCs w:val="20"/>
          <w:lang w:val="it-IT"/>
        </w:rPr>
        <w:t xml:space="preserve">’occasione davvero memorabile. </w:t>
      </w:r>
      <w:r w:rsidRPr="00C1704B">
        <w:rPr>
          <w:rFonts w:eastAsia="Arial"/>
          <w:sz w:val="20"/>
          <w:szCs w:val="20"/>
          <w:lang w:val="it-IT"/>
        </w:rPr>
        <w:t xml:space="preserve">Ogni anno, durante la National Heritage Week, organizziamo dei Family Fun Days gratuiti con attività e competizioni che incoraggiano le famiglie locali a partecipare. Inoltre, collaboriamo con il progetto della Ballinglen Arts Foundation di Ballycastle rivolto alle scuole, in cui gli alunni delle elementari locali trascorrono mezza giornata a Ballinglen e l’altra mezza a </w:t>
      </w:r>
      <w:r w:rsidRPr="007C2D5A">
        <w:rPr>
          <w:rFonts w:eastAsia="Arial"/>
          <w:i/>
          <w:sz w:val="20"/>
          <w:szCs w:val="20"/>
          <w:lang w:val="it-IT"/>
        </w:rPr>
        <w:t>Céide Fields</w:t>
      </w:r>
      <w:r w:rsidRPr="00C1704B">
        <w:rPr>
          <w:rFonts w:eastAsia="Arial"/>
          <w:sz w:val="20"/>
          <w:szCs w:val="20"/>
          <w:lang w:val="it-IT"/>
        </w:rPr>
        <w:t>. L’OPW incoraggia le visite scolas</w:t>
      </w:r>
      <w:r>
        <w:rPr>
          <w:rFonts w:eastAsia="Arial"/>
          <w:sz w:val="20"/>
          <w:szCs w:val="20"/>
          <w:lang w:val="it-IT"/>
        </w:rPr>
        <w:t>tiche fornendo entrata libera e</w:t>
      </w:r>
      <w:r w:rsidRPr="00C1704B">
        <w:rPr>
          <w:rFonts w:eastAsia="Arial"/>
          <w:sz w:val="20"/>
          <w:szCs w:val="20"/>
          <w:lang w:val="it-IT"/>
        </w:rPr>
        <w:t xml:space="preserve"> attività educative per tutte le scuole di livello primario e secondario, e dal 2017 ha introdotto l’entrata libera per tutti i bambini al di sotto dei dodici anni d’età. </w:t>
      </w:r>
    </w:p>
    <w:p w14:paraId="72415D80" w14:textId="77777777" w:rsidR="00610A26" w:rsidRPr="00C1704B" w:rsidRDefault="00610A26" w:rsidP="00610A26">
      <w:pPr>
        <w:pStyle w:val="temp"/>
        <w:spacing w:before="0" w:line="240" w:lineRule="exact"/>
        <w:jc w:val="both"/>
        <w:rPr>
          <w:sz w:val="20"/>
          <w:szCs w:val="20"/>
        </w:rPr>
      </w:pPr>
      <w:r w:rsidRPr="00C1704B">
        <w:rPr>
          <w:rFonts w:eastAsia="Arial"/>
          <w:sz w:val="20"/>
          <w:szCs w:val="20"/>
          <w:lang w:val="it-IT"/>
        </w:rPr>
        <w:t xml:space="preserve">Riteniamo che il nostro patrimonio storico e culturale </w:t>
      </w:r>
      <w:r w:rsidRPr="00C1704B">
        <w:rPr>
          <w:sz w:val="20"/>
          <w:szCs w:val="20"/>
          <w:lang w:val="it-IT"/>
        </w:rPr>
        <w:t xml:space="preserve">possa essere gestito in modo davvero sostenibile </w:t>
      </w:r>
      <w:r w:rsidRPr="00C1704B">
        <w:rPr>
          <w:rFonts w:eastAsia="Arial"/>
          <w:sz w:val="20"/>
          <w:szCs w:val="20"/>
          <w:lang w:val="it-IT"/>
        </w:rPr>
        <w:t xml:space="preserve">solamente attraverso l’educazione delle giovani generazioni, alimentando un </w:t>
      </w:r>
      <w:r w:rsidRPr="00C1704B">
        <w:rPr>
          <w:rFonts w:eastAsia="Arial"/>
          <w:sz w:val="20"/>
          <w:szCs w:val="20"/>
          <w:lang w:val="it-IT"/>
        </w:rPr>
        <w:lastRenderedPageBreak/>
        <w:t xml:space="preserve">senso d’orgoglio nei confronti del loro patrimonio culturale locale e </w:t>
      </w:r>
      <w:r>
        <w:rPr>
          <w:rFonts w:eastAsia="Arial"/>
          <w:sz w:val="20"/>
          <w:szCs w:val="20"/>
          <w:lang w:val="it-IT"/>
        </w:rPr>
        <w:t>degli</w:t>
      </w:r>
      <w:r w:rsidRPr="00C1704B">
        <w:rPr>
          <w:rFonts w:eastAsia="Arial"/>
          <w:sz w:val="20"/>
          <w:szCs w:val="20"/>
          <w:lang w:val="it-IT"/>
        </w:rPr>
        <w:t xml:space="preserve"> antenati che hanno plasmato il territorio in cui abitano, dato che </w:t>
      </w:r>
      <w:r>
        <w:rPr>
          <w:rFonts w:eastAsia="Arial"/>
          <w:sz w:val="20"/>
          <w:szCs w:val="20"/>
          <w:lang w:val="it-IT"/>
        </w:rPr>
        <w:t>spetterà</w:t>
      </w:r>
      <w:r w:rsidRPr="00C1704B">
        <w:rPr>
          <w:rFonts w:eastAsia="Arial"/>
          <w:sz w:val="20"/>
          <w:szCs w:val="20"/>
          <w:lang w:val="it-IT"/>
        </w:rPr>
        <w:t xml:space="preserve"> loro plasmarlo per le generazioni future.</w:t>
      </w:r>
    </w:p>
    <w:p w14:paraId="50ACE1BF" w14:textId="77777777" w:rsidR="00610A26" w:rsidRPr="00C1704B" w:rsidRDefault="00610A26" w:rsidP="00610A26">
      <w:pPr>
        <w:jc w:val="both"/>
        <w:rPr>
          <w:rFonts w:cs="Arial"/>
        </w:rPr>
      </w:pPr>
    </w:p>
    <w:p w14:paraId="135D4C1C" w14:textId="77777777" w:rsidR="00610A26" w:rsidRPr="007C6624" w:rsidRDefault="00610A26" w:rsidP="00610A26">
      <w:pPr>
        <w:jc w:val="both"/>
        <w:outlineLvl w:val="0"/>
        <w:rPr>
          <w:rFonts w:cs="Arial"/>
          <w:b/>
        </w:rPr>
      </w:pPr>
      <w:r w:rsidRPr="007C6624">
        <w:rPr>
          <w:rFonts w:eastAsia="Arial" w:cs="Arial"/>
          <w:b/>
        </w:rPr>
        <w:t>Bibliografia</w:t>
      </w:r>
    </w:p>
    <w:p w14:paraId="7D3D7AFA" w14:textId="77777777" w:rsidR="00610A26" w:rsidRPr="00C1704B" w:rsidRDefault="00610A26" w:rsidP="00610A26">
      <w:pPr>
        <w:jc w:val="both"/>
        <w:rPr>
          <w:rFonts w:cs="Arial"/>
        </w:rPr>
      </w:pPr>
    </w:p>
    <w:p w14:paraId="3AA3BA7D" w14:textId="77777777" w:rsidR="00610A26" w:rsidRPr="00C1704B" w:rsidRDefault="00610A26" w:rsidP="00610A26">
      <w:pPr>
        <w:jc w:val="both"/>
        <w:outlineLvl w:val="0"/>
        <w:rPr>
          <w:rFonts w:cs="Arial"/>
        </w:rPr>
      </w:pPr>
      <w:r w:rsidRPr="00C1704B">
        <w:rPr>
          <w:rFonts w:eastAsia="Arial" w:cs="Arial"/>
        </w:rPr>
        <w:t>C</w:t>
      </w:r>
      <w:r w:rsidRPr="00C1704B">
        <w:rPr>
          <w:rFonts w:eastAsia="Arial" w:cs="Arial"/>
          <w:smallCaps/>
        </w:rPr>
        <w:t>asey</w:t>
      </w:r>
      <w:r>
        <w:rPr>
          <w:rFonts w:eastAsia="Arial" w:cs="Arial"/>
        </w:rPr>
        <w:t xml:space="preserve"> 2004</w:t>
      </w:r>
    </w:p>
    <w:p w14:paraId="36361604" w14:textId="77777777" w:rsidR="00610A26" w:rsidRPr="00C1704B" w:rsidRDefault="00610A26" w:rsidP="00610A26">
      <w:pPr>
        <w:jc w:val="both"/>
        <w:rPr>
          <w:rFonts w:cs="Arial"/>
        </w:rPr>
      </w:pPr>
      <w:r w:rsidRPr="00C1704B">
        <w:rPr>
          <w:rFonts w:eastAsia="Arial" w:cs="Arial"/>
        </w:rPr>
        <w:t>M</w:t>
      </w:r>
      <w:r w:rsidRPr="00C1704B">
        <w:rPr>
          <w:rFonts w:eastAsia="Arial" w:cs="Arial"/>
          <w:smallCaps/>
        </w:rPr>
        <w:t>ichael Casey</w:t>
      </w:r>
      <w:r w:rsidRPr="00C1704B">
        <w:rPr>
          <w:rFonts w:eastAsia="Arial" w:cs="Arial"/>
        </w:rPr>
        <w:t xml:space="preserve">, </w:t>
      </w:r>
      <w:r w:rsidRPr="00C1704B">
        <w:rPr>
          <w:rFonts w:eastAsia="Arial" w:cs="Arial"/>
          <w:i/>
        </w:rPr>
        <w:t xml:space="preserve">Michael Casey </w:t>
      </w:r>
      <w:r>
        <w:rPr>
          <w:rFonts w:eastAsia="Arial" w:cs="Arial"/>
          <w:i/>
        </w:rPr>
        <w:t>sculptor, sculptures</w:t>
      </w:r>
      <w:r w:rsidRPr="00C1704B">
        <w:rPr>
          <w:rFonts w:eastAsia="Arial" w:cs="Arial"/>
          <w:i/>
        </w:rPr>
        <w:t xml:space="preserve"> 1974-2004, </w:t>
      </w:r>
      <w:r>
        <w:rPr>
          <w:rFonts w:eastAsia="Arial" w:cs="Arial"/>
        </w:rPr>
        <w:t xml:space="preserve">The </w:t>
      </w:r>
      <w:r w:rsidRPr="00C1704B">
        <w:rPr>
          <w:rFonts w:eastAsia="Arial" w:cs="Arial"/>
        </w:rPr>
        <w:t>John</w:t>
      </w:r>
      <w:r>
        <w:rPr>
          <w:rFonts w:eastAsia="Arial" w:cs="Arial"/>
        </w:rPr>
        <w:t xml:space="preserve"> Keegan Casey Society, Longford</w:t>
      </w:r>
      <w:r w:rsidRPr="00C1704B">
        <w:rPr>
          <w:rFonts w:eastAsia="Arial" w:cs="Arial"/>
        </w:rPr>
        <w:t xml:space="preserve"> 2004.</w:t>
      </w:r>
    </w:p>
    <w:p w14:paraId="53F771AA" w14:textId="77777777" w:rsidR="00610A26" w:rsidRPr="00C1704B" w:rsidRDefault="00610A26" w:rsidP="00610A26">
      <w:pPr>
        <w:jc w:val="both"/>
        <w:rPr>
          <w:rFonts w:cs="Arial"/>
        </w:rPr>
      </w:pPr>
    </w:p>
    <w:p w14:paraId="56D07B45" w14:textId="77777777" w:rsidR="00610A26" w:rsidRPr="00C1704B" w:rsidRDefault="00610A26" w:rsidP="00610A26">
      <w:pPr>
        <w:pStyle w:val="EndNoteBibliography"/>
        <w:spacing w:line="240" w:lineRule="exact"/>
        <w:jc w:val="both"/>
        <w:outlineLvl w:val="0"/>
        <w:rPr>
          <w:rFonts w:ascii="Arial" w:hAnsi="Arial"/>
          <w:sz w:val="20"/>
          <w:szCs w:val="20"/>
        </w:rPr>
      </w:pPr>
      <w:r w:rsidRPr="00C1704B">
        <w:rPr>
          <w:rFonts w:ascii="Arial" w:eastAsia="Arial" w:hAnsi="Arial"/>
          <w:smallCaps/>
          <w:sz w:val="20"/>
          <w:szCs w:val="20"/>
          <w:lang w:val="it-IT"/>
        </w:rPr>
        <w:t>Caulfield</w:t>
      </w:r>
      <w:r w:rsidRPr="00C1704B">
        <w:rPr>
          <w:rFonts w:ascii="Arial" w:eastAsia="Arial" w:hAnsi="Arial"/>
          <w:sz w:val="20"/>
          <w:szCs w:val="20"/>
          <w:lang w:val="it-IT"/>
        </w:rPr>
        <w:t xml:space="preserve"> et al</w:t>
      </w:r>
      <w:r>
        <w:rPr>
          <w:rFonts w:ascii="Arial" w:eastAsia="Arial" w:hAnsi="Arial"/>
          <w:sz w:val="20"/>
          <w:szCs w:val="20"/>
          <w:lang w:val="it-IT"/>
        </w:rPr>
        <w:t>. 1998</w:t>
      </w:r>
    </w:p>
    <w:p w14:paraId="1715F137" w14:textId="77777777" w:rsidR="00610A26" w:rsidRPr="00C1704B" w:rsidRDefault="00610A26" w:rsidP="00610A26">
      <w:pPr>
        <w:pStyle w:val="EndNoteBibliography"/>
        <w:spacing w:line="240" w:lineRule="exact"/>
        <w:jc w:val="both"/>
        <w:rPr>
          <w:rFonts w:ascii="Arial" w:hAnsi="Arial"/>
          <w:sz w:val="20"/>
          <w:szCs w:val="20"/>
        </w:rPr>
      </w:pPr>
      <w:r w:rsidRPr="00C1704B">
        <w:rPr>
          <w:rFonts w:ascii="Arial" w:eastAsia="Arial" w:hAnsi="Arial"/>
          <w:sz w:val="20"/>
          <w:szCs w:val="20"/>
          <w:lang w:val="it-IT"/>
        </w:rPr>
        <w:t>S</w:t>
      </w:r>
      <w:r w:rsidRPr="00C1704B">
        <w:rPr>
          <w:rFonts w:ascii="Arial" w:eastAsia="Arial" w:hAnsi="Arial"/>
          <w:smallCaps/>
          <w:sz w:val="20"/>
          <w:szCs w:val="20"/>
          <w:lang w:val="it-IT"/>
        </w:rPr>
        <w:t>eamas</w:t>
      </w:r>
      <w:r w:rsidRPr="00C1704B">
        <w:rPr>
          <w:rFonts w:ascii="Arial" w:eastAsia="Arial" w:hAnsi="Arial"/>
          <w:sz w:val="20"/>
          <w:szCs w:val="20"/>
          <w:lang w:val="it-IT"/>
        </w:rPr>
        <w:t xml:space="preserve"> C</w:t>
      </w:r>
      <w:r w:rsidRPr="00C1704B">
        <w:rPr>
          <w:rFonts w:ascii="Arial" w:eastAsia="Arial" w:hAnsi="Arial"/>
          <w:smallCaps/>
          <w:sz w:val="20"/>
          <w:szCs w:val="20"/>
          <w:lang w:val="it-IT"/>
        </w:rPr>
        <w:t>aulfield</w:t>
      </w:r>
      <w:r w:rsidRPr="00C1704B">
        <w:rPr>
          <w:rFonts w:ascii="Arial" w:eastAsia="Arial" w:hAnsi="Arial"/>
          <w:sz w:val="20"/>
          <w:szCs w:val="20"/>
          <w:lang w:val="it-IT"/>
        </w:rPr>
        <w:t>, R</w:t>
      </w:r>
      <w:r>
        <w:rPr>
          <w:rFonts w:ascii="Arial" w:eastAsia="Arial" w:hAnsi="Arial"/>
          <w:sz w:val="20"/>
          <w:szCs w:val="20"/>
          <w:lang w:val="it-IT"/>
        </w:rPr>
        <w:t>.</w:t>
      </w:r>
      <w:r w:rsidRPr="00C1704B">
        <w:rPr>
          <w:rFonts w:ascii="Arial" w:eastAsia="Arial" w:hAnsi="Arial"/>
          <w:sz w:val="20"/>
          <w:szCs w:val="20"/>
          <w:lang w:val="it-IT"/>
        </w:rPr>
        <w:t>G</w:t>
      </w:r>
      <w:r>
        <w:rPr>
          <w:rFonts w:ascii="Arial" w:eastAsia="Arial" w:hAnsi="Arial"/>
          <w:sz w:val="20"/>
          <w:szCs w:val="20"/>
          <w:lang w:val="it-IT"/>
        </w:rPr>
        <w:t>.</w:t>
      </w:r>
      <w:r w:rsidRPr="00C1704B">
        <w:rPr>
          <w:rFonts w:ascii="Arial" w:eastAsia="Arial" w:hAnsi="Arial"/>
          <w:sz w:val="20"/>
          <w:szCs w:val="20"/>
          <w:lang w:val="it-IT"/>
        </w:rPr>
        <w:t xml:space="preserve"> O’D</w:t>
      </w:r>
      <w:r w:rsidRPr="00C1704B">
        <w:rPr>
          <w:rFonts w:ascii="Arial" w:eastAsia="Arial" w:hAnsi="Arial"/>
          <w:smallCaps/>
          <w:sz w:val="20"/>
          <w:szCs w:val="20"/>
          <w:lang w:val="it-IT"/>
        </w:rPr>
        <w:t>onnell</w:t>
      </w:r>
      <w:r w:rsidRPr="00C1704B">
        <w:rPr>
          <w:rFonts w:ascii="Arial" w:eastAsia="Arial" w:hAnsi="Arial"/>
          <w:sz w:val="20"/>
          <w:szCs w:val="20"/>
          <w:lang w:val="it-IT"/>
        </w:rPr>
        <w:t>, P</w:t>
      </w:r>
      <w:r>
        <w:rPr>
          <w:rFonts w:ascii="Arial" w:eastAsia="Arial" w:hAnsi="Arial"/>
          <w:sz w:val="20"/>
          <w:szCs w:val="20"/>
          <w:lang w:val="it-IT"/>
        </w:rPr>
        <w:t>.</w:t>
      </w:r>
      <w:r w:rsidRPr="00C1704B">
        <w:rPr>
          <w:rFonts w:ascii="Arial" w:eastAsia="Arial" w:hAnsi="Arial"/>
          <w:sz w:val="20"/>
          <w:szCs w:val="20"/>
          <w:lang w:val="it-IT"/>
        </w:rPr>
        <w:t>I</w:t>
      </w:r>
      <w:r>
        <w:rPr>
          <w:rFonts w:ascii="Arial" w:eastAsia="Arial" w:hAnsi="Arial"/>
          <w:sz w:val="20"/>
          <w:szCs w:val="20"/>
          <w:lang w:val="it-IT"/>
        </w:rPr>
        <w:t>.</w:t>
      </w:r>
      <w:r w:rsidRPr="00C1704B">
        <w:rPr>
          <w:rFonts w:ascii="Arial" w:eastAsia="Arial" w:hAnsi="Arial"/>
          <w:sz w:val="20"/>
          <w:szCs w:val="20"/>
          <w:lang w:val="it-IT"/>
        </w:rPr>
        <w:t xml:space="preserve"> M</w:t>
      </w:r>
      <w:r w:rsidRPr="00C1704B">
        <w:rPr>
          <w:rFonts w:ascii="Arial" w:eastAsia="Arial" w:hAnsi="Arial"/>
          <w:smallCaps/>
          <w:sz w:val="20"/>
          <w:szCs w:val="20"/>
          <w:lang w:val="it-IT"/>
        </w:rPr>
        <w:t>itchell,</w:t>
      </w:r>
      <w:r w:rsidRPr="00C1704B">
        <w:rPr>
          <w:rFonts w:ascii="Arial" w:eastAsia="Arial" w:hAnsi="Arial"/>
          <w:sz w:val="20"/>
          <w:szCs w:val="20"/>
          <w:lang w:val="it-IT"/>
        </w:rPr>
        <w:t xml:space="preserve"> “</w:t>
      </w:r>
      <w:r w:rsidRPr="00C1704B">
        <w:rPr>
          <w:rFonts w:ascii="Arial" w:eastAsia="Arial" w:hAnsi="Arial"/>
          <w:sz w:val="20"/>
          <w:szCs w:val="20"/>
          <w:vertAlign w:val="superscript"/>
          <w:lang w:val="it-IT"/>
        </w:rPr>
        <w:t>14</w:t>
      </w:r>
      <w:r w:rsidRPr="00C1704B">
        <w:rPr>
          <w:rFonts w:ascii="Arial" w:eastAsia="Arial" w:hAnsi="Arial"/>
          <w:sz w:val="20"/>
          <w:szCs w:val="20"/>
          <w:lang w:val="it-IT"/>
        </w:rPr>
        <w:t xml:space="preserve">C Dating of a Neolithic Field System at Céide Fields, County Mayo, Ireland” in </w:t>
      </w:r>
      <w:r w:rsidRPr="00C1704B">
        <w:rPr>
          <w:rFonts w:ascii="Arial" w:eastAsia="Arial" w:hAnsi="Arial"/>
          <w:i/>
          <w:sz w:val="20"/>
          <w:szCs w:val="20"/>
          <w:lang w:val="it-IT"/>
        </w:rPr>
        <w:t>Radiocarbon,</w:t>
      </w:r>
      <w:r w:rsidRPr="00C1704B">
        <w:rPr>
          <w:rFonts w:ascii="Arial" w:eastAsia="Arial" w:hAnsi="Arial"/>
          <w:sz w:val="20"/>
          <w:szCs w:val="20"/>
          <w:lang w:val="it-IT"/>
        </w:rPr>
        <w:t xml:space="preserve"> vol. </w:t>
      </w:r>
      <w:r w:rsidRPr="00C1704B">
        <w:rPr>
          <w:rFonts w:ascii="Arial" w:eastAsia="Arial" w:hAnsi="Arial"/>
          <w:smallCaps/>
          <w:sz w:val="20"/>
          <w:szCs w:val="20"/>
          <w:lang w:val="it-IT"/>
        </w:rPr>
        <w:t>xl</w:t>
      </w:r>
      <w:r w:rsidRPr="00C1704B">
        <w:rPr>
          <w:rFonts w:ascii="Arial" w:eastAsia="Arial" w:hAnsi="Arial"/>
          <w:sz w:val="20"/>
          <w:szCs w:val="20"/>
          <w:lang w:val="it-IT"/>
        </w:rPr>
        <w:t>, 2, 1998, pp. 629-640.</w:t>
      </w:r>
    </w:p>
    <w:p w14:paraId="3FD39B14" w14:textId="77777777" w:rsidR="00610A26" w:rsidRPr="00C1704B" w:rsidRDefault="00610A26" w:rsidP="00610A26">
      <w:pPr>
        <w:pStyle w:val="EndNoteBibliography"/>
        <w:spacing w:line="240" w:lineRule="exact"/>
        <w:jc w:val="both"/>
        <w:rPr>
          <w:rFonts w:ascii="Arial" w:hAnsi="Arial"/>
          <w:sz w:val="20"/>
          <w:szCs w:val="20"/>
        </w:rPr>
      </w:pPr>
    </w:p>
    <w:p w14:paraId="33F12EC6" w14:textId="77777777" w:rsidR="00610A26" w:rsidRPr="00C1704B" w:rsidRDefault="00610A26" w:rsidP="00610A26">
      <w:pPr>
        <w:pStyle w:val="western"/>
        <w:spacing w:before="0" w:after="0" w:line="240" w:lineRule="exact"/>
        <w:jc w:val="both"/>
        <w:outlineLvl w:val="0"/>
        <w:rPr>
          <w:rFonts w:ascii="Arial" w:hAnsi="Arial" w:cs="Arial"/>
          <w:sz w:val="20"/>
          <w:szCs w:val="20"/>
        </w:rPr>
      </w:pPr>
      <w:r w:rsidRPr="00C1704B">
        <w:rPr>
          <w:rFonts w:ascii="Arial" w:eastAsia="Arial" w:hAnsi="Arial" w:cs="Arial"/>
          <w:caps/>
          <w:sz w:val="20"/>
          <w:szCs w:val="20"/>
          <w:lang w:val="it-IT"/>
        </w:rPr>
        <w:t>M</w:t>
      </w:r>
      <w:r>
        <w:rPr>
          <w:rFonts w:ascii="Arial" w:eastAsia="Arial" w:hAnsi="Arial" w:cs="Arial"/>
          <w:smallCaps/>
          <w:sz w:val="20"/>
          <w:szCs w:val="20"/>
          <w:lang w:val="it-IT"/>
        </w:rPr>
        <w:t>acK</w:t>
      </w:r>
      <w:r w:rsidRPr="00C1704B">
        <w:rPr>
          <w:rFonts w:ascii="Arial" w:eastAsia="Arial" w:hAnsi="Arial" w:cs="Arial"/>
          <w:smallCaps/>
          <w:sz w:val="20"/>
          <w:szCs w:val="20"/>
          <w:lang w:val="it-IT"/>
        </w:rPr>
        <w:t xml:space="preserve">enna </w:t>
      </w:r>
      <w:r w:rsidRPr="00C1704B">
        <w:rPr>
          <w:rFonts w:ascii="Arial" w:eastAsia="Arial" w:hAnsi="Arial" w:cs="Arial"/>
          <w:sz w:val="20"/>
          <w:szCs w:val="20"/>
          <w:lang w:val="it-IT"/>
        </w:rPr>
        <w:t>1998.</w:t>
      </w:r>
    </w:p>
    <w:p w14:paraId="469C39F8" w14:textId="77777777" w:rsidR="00610A26" w:rsidRPr="00C1704B" w:rsidRDefault="00610A26" w:rsidP="00610A26">
      <w:pPr>
        <w:pStyle w:val="western"/>
        <w:spacing w:before="0" w:after="0" w:line="240" w:lineRule="exact"/>
        <w:jc w:val="both"/>
        <w:rPr>
          <w:rFonts w:ascii="Arial" w:hAnsi="Arial" w:cs="Arial"/>
          <w:sz w:val="20"/>
          <w:szCs w:val="20"/>
        </w:rPr>
      </w:pPr>
      <w:r w:rsidRPr="00C1704B">
        <w:rPr>
          <w:rFonts w:ascii="Arial" w:eastAsia="Arial" w:hAnsi="Arial" w:cs="Arial"/>
          <w:sz w:val="20"/>
          <w:szCs w:val="20"/>
          <w:lang w:val="it-IT"/>
        </w:rPr>
        <w:t>M</w:t>
      </w:r>
      <w:r>
        <w:rPr>
          <w:rFonts w:ascii="Arial" w:eastAsia="Arial" w:hAnsi="Arial" w:cs="Arial"/>
          <w:smallCaps/>
          <w:sz w:val="20"/>
          <w:szCs w:val="20"/>
          <w:lang w:val="it-IT"/>
        </w:rPr>
        <w:t>ary MacK</w:t>
      </w:r>
      <w:r w:rsidRPr="00C1704B">
        <w:rPr>
          <w:rFonts w:ascii="Arial" w:eastAsia="Arial" w:hAnsi="Arial" w:cs="Arial"/>
          <w:smallCaps/>
          <w:sz w:val="20"/>
          <w:szCs w:val="20"/>
          <w:lang w:val="it-IT"/>
        </w:rPr>
        <w:t>enna, “A M</w:t>
      </w:r>
      <w:r w:rsidRPr="00C1704B">
        <w:rPr>
          <w:rFonts w:ascii="Arial" w:eastAsia="Arial" w:hAnsi="Arial" w:cs="Arial"/>
          <w:sz w:val="20"/>
          <w:szCs w:val="20"/>
          <w:lang w:val="it-IT"/>
        </w:rPr>
        <w:t xml:space="preserve">ythic Landscape”, in </w:t>
      </w:r>
      <w:r w:rsidRPr="00C1704B">
        <w:rPr>
          <w:rFonts w:ascii="Arial" w:eastAsia="Arial" w:hAnsi="Arial" w:cs="Arial"/>
          <w:i/>
          <w:sz w:val="20"/>
          <w:szCs w:val="20"/>
          <w:lang w:val="it-IT"/>
        </w:rPr>
        <w:t>Irish Architect: The Journal of the Royal Institute of the Architects of Ireland</w:t>
      </w:r>
      <w:r w:rsidRPr="00C1704B">
        <w:rPr>
          <w:rFonts w:ascii="Arial" w:eastAsia="Arial" w:hAnsi="Arial" w:cs="Arial"/>
          <w:sz w:val="20"/>
          <w:szCs w:val="20"/>
          <w:lang w:val="it-IT"/>
        </w:rPr>
        <w:t xml:space="preserve">, vol. </w:t>
      </w:r>
      <w:r w:rsidRPr="00C1704B">
        <w:rPr>
          <w:rFonts w:ascii="Arial" w:eastAsia="Arial" w:hAnsi="Arial" w:cs="Arial"/>
          <w:smallCaps/>
          <w:sz w:val="20"/>
          <w:szCs w:val="20"/>
          <w:lang w:val="it-IT"/>
        </w:rPr>
        <w:t>cxli, N</w:t>
      </w:r>
      <w:r>
        <w:rPr>
          <w:rFonts w:ascii="Arial" w:eastAsia="Arial" w:hAnsi="Arial" w:cs="Arial"/>
          <w:sz w:val="20"/>
          <w:szCs w:val="20"/>
          <w:lang w:val="it-IT"/>
        </w:rPr>
        <w:t>ov.-</w:t>
      </w:r>
      <w:r w:rsidRPr="00C1704B">
        <w:rPr>
          <w:rFonts w:ascii="Arial" w:eastAsia="Arial" w:hAnsi="Arial" w:cs="Arial"/>
          <w:sz w:val="20"/>
          <w:szCs w:val="20"/>
          <w:lang w:val="it-IT"/>
        </w:rPr>
        <w:t>Dec. 1998, pp. 10-12.</w:t>
      </w:r>
    </w:p>
    <w:p w14:paraId="7F3D4F01" w14:textId="49F9FA0F" w:rsidR="00D9028C" w:rsidRPr="00A82115" w:rsidRDefault="00D9028C" w:rsidP="00CF572A">
      <w:pPr>
        <w:rPr>
          <w:rStyle w:val="NewRailCartaIntestata"/>
          <w:rFonts w:ascii="Arial" w:hAnsi="Arial" w:cs="Arial"/>
        </w:rPr>
      </w:pPr>
    </w:p>
    <w:sectPr w:rsidR="00D9028C" w:rsidRPr="00A82115" w:rsidSect="00694701">
      <w:headerReference w:type="even" r:id="rId7"/>
      <w:headerReference w:type="default" r:id="rId8"/>
      <w:footerReference w:type="even" r:id="rId9"/>
      <w:footerReference w:type="default" r:id="rId10"/>
      <w:headerReference w:type="first" r:id="rId11"/>
      <w:footerReference w:type="first" r:id="rId12"/>
      <w:pgSz w:w="11900" w:h="16820"/>
      <w:pgMar w:top="2030" w:right="805" w:bottom="794" w:left="2767" w:header="0" w:footer="708" w:gutter="0"/>
      <w:cols w:space="227"/>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2A80881" w14:textId="77777777" w:rsidR="0036795D" w:rsidRDefault="0036795D" w:rsidP="009E7D1D">
      <w:r>
        <w:separator/>
      </w:r>
    </w:p>
  </w:endnote>
  <w:endnote w:type="continuationSeparator" w:id="0">
    <w:p w14:paraId="50D78165" w14:textId="77777777" w:rsidR="0036795D" w:rsidRDefault="0036795D" w:rsidP="009E7D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mbria">
    <w:panose1 w:val="02040503050406030204"/>
    <w:charset w:val="00"/>
    <w:family w:val="roman"/>
    <w:pitch w:val="variable"/>
    <w:sig w:usb0="E00006FF" w:usb1="400004FF" w:usb2="00000000" w:usb3="00000000" w:csb0="0000019F" w:csb1="00000000"/>
  </w:font>
  <w:font w:name="MS Mincho">
    <w:altName w:val="Yu Gothic UI"/>
    <w:panose1 w:val="02020609040205080304"/>
    <w:charset w:val="4E"/>
    <w:family w:val="auto"/>
    <w:pitch w:val="variable"/>
    <w:sig w:usb0="00000001" w:usb1="08070000" w:usb2="00000010" w:usb3="00000000" w:csb0="0002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MinionPro-Regular">
    <w:altName w:val="Cambria"/>
    <w:panose1 w:val="00000000000000000000"/>
    <w:charset w:val="4D"/>
    <w:family w:val="auto"/>
    <w:notTrueType/>
    <w:pitch w:val="default"/>
    <w:sig w:usb0="00000003" w:usb1="00000000" w:usb2="00000000" w:usb3="00000000" w:csb0="00000001" w:csb1="00000000"/>
  </w:font>
  <w:font w:name="NewRailAlphabet-Light">
    <w:altName w:val="Times New Roman"/>
    <w:panose1 w:val="02000503060000020004"/>
    <w:charset w:val="4D"/>
    <w:family w:val="auto"/>
    <w:notTrueType/>
    <w:pitch w:val="default"/>
    <w:sig w:usb0="00000003" w:usb1="00000000" w:usb2="00000000" w:usb3="00000000" w:csb0="00000001" w:csb1="00000000"/>
  </w:font>
  <w:font w:name="Lucida Grande">
    <w:altName w:val="Times New Roman"/>
    <w:charset w:val="00"/>
    <w:family w:val="auto"/>
    <w:pitch w:val="variable"/>
    <w:sig w:usb0="E1000AEF" w:usb1="5000A1FF" w:usb2="00000000" w:usb3="00000000" w:csb0="000001BF" w:csb1="00000000"/>
  </w:font>
  <w:font w:name="New Rail Alphabet Light">
    <w:altName w:val="Times New Roman"/>
    <w:panose1 w:val="02000503060000020004"/>
    <w:charset w:val="00"/>
    <w:family w:val="auto"/>
    <w:pitch w:val="variable"/>
    <w:sig w:usb0="A00000AF" w:usb1="D000605F" w:usb2="00000002" w:usb3="00000000" w:csb0="00000093" w:csb1="00000000"/>
  </w:font>
  <w:font w:name="ITC Century Std Book">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Century Expanded LT Std">
    <w:panose1 w:val="00000000000000000000"/>
    <w:charset w:val="00"/>
    <w:family w:val="roman"/>
    <w:notTrueType/>
    <w:pitch w:val="default"/>
    <w:sig w:usb0="00000003" w:usb1="00000000" w:usb2="00000000" w:usb3="00000000" w:csb0="00000001" w:csb1="00000000"/>
  </w:font>
  <w:font w:name="New Rail Alphabet Bold">
    <w:altName w:val="Corbel"/>
    <w:panose1 w:val="02000503040000020004"/>
    <w:charset w:val="00"/>
    <w:family w:val="auto"/>
    <w:pitch w:val="variable"/>
    <w:sig w:usb0="A00000AF" w:usb1="D000605F" w:usb2="00000002" w:usb3="00000000" w:csb0="00000093" w:csb1="00000000"/>
  </w:font>
  <w:font w:name="Symbol">
    <w:panose1 w:val="050501020107060205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FF82FC" w14:textId="77777777" w:rsidR="00A82844" w:rsidRDefault="00A82844" w:rsidP="001D3047">
    <w:pPr>
      <w:pStyle w:val="Pidipagina"/>
      <w:framePr w:wrap="around" w:vAnchor="text" w:hAnchor="margin" w:y="1"/>
      <w:rPr>
        <w:rStyle w:val="Numeropagina"/>
      </w:rPr>
    </w:pPr>
    <w:r>
      <w:rPr>
        <w:rStyle w:val="Numeropagina"/>
      </w:rPr>
      <w:fldChar w:fldCharType="begin"/>
    </w:r>
    <w:r>
      <w:rPr>
        <w:rStyle w:val="Numeropagina"/>
      </w:rPr>
      <w:instrText xml:space="preserve">PAGE  </w:instrText>
    </w:r>
    <w:r>
      <w:rPr>
        <w:rStyle w:val="Numeropagina"/>
      </w:rPr>
      <w:fldChar w:fldCharType="end"/>
    </w:r>
  </w:p>
  <w:p w14:paraId="797C564D" w14:textId="77777777" w:rsidR="00A82844" w:rsidRDefault="00A82844" w:rsidP="001D3047">
    <w:pPr>
      <w:pStyle w:val="Pidipagina"/>
      <w:ind w:firstLine="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50A22F" w14:textId="487BAFF3" w:rsidR="00A82844" w:rsidRDefault="007948E0" w:rsidP="00E8720F">
    <w:pPr>
      <w:pStyle w:val="Pidipagina"/>
      <w:framePr w:w="964" w:h="2614" w:hRule="exact" w:wrap="around" w:vAnchor="page" w:hAnchor="page" w:x="568" w:y="4185"/>
      <w:rPr>
        <w:rStyle w:val="Numeropagina"/>
      </w:rPr>
    </w:pPr>
    <w:r>
      <w:rPr>
        <w:rStyle w:val="Numeropagina"/>
      </w:rPr>
      <w:t>p</w:t>
    </w:r>
    <w:r w:rsidR="00A82844">
      <w:rPr>
        <w:rStyle w:val="Numeropagina"/>
      </w:rPr>
      <w:t xml:space="preserve">. </w:t>
    </w:r>
    <w:r w:rsidR="00A82844">
      <w:rPr>
        <w:rStyle w:val="Numeropagina"/>
      </w:rPr>
      <w:fldChar w:fldCharType="begin"/>
    </w:r>
    <w:r w:rsidR="00A82844">
      <w:rPr>
        <w:rStyle w:val="Numeropagina"/>
      </w:rPr>
      <w:instrText xml:space="preserve">PAGE  </w:instrText>
    </w:r>
    <w:r w:rsidR="00A82844">
      <w:rPr>
        <w:rStyle w:val="Numeropagina"/>
      </w:rPr>
      <w:fldChar w:fldCharType="separate"/>
    </w:r>
    <w:r w:rsidR="007C2D5A">
      <w:rPr>
        <w:rStyle w:val="Numeropagina"/>
        <w:noProof/>
      </w:rPr>
      <w:t>2</w:t>
    </w:r>
    <w:r w:rsidR="00A82844">
      <w:rPr>
        <w:rStyle w:val="Numeropagina"/>
      </w:rPr>
      <w:fldChar w:fldCharType="end"/>
    </w:r>
  </w:p>
  <w:p w14:paraId="6E58265F" w14:textId="77777777" w:rsidR="00A82844" w:rsidRDefault="00A82844" w:rsidP="001D3047">
    <w:pPr>
      <w:pStyle w:val="Pidipagina"/>
      <w:ind w:firstLine="36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F82F4E" w14:textId="09CCADDB" w:rsidR="00A82844" w:rsidRDefault="00A82844">
    <w:pPr>
      <w:pStyle w:val="Pidipagina"/>
    </w:pPr>
    <w:r>
      <w:rPr>
        <w:noProof/>
      </w:rPr>
      <w:drawing>
        <wp:anchor distT="0" distB="0" distL="114300" distR="114300" simplePos="0" relativeHeight="251658752" behindDoc="0" locked="0" layoutInCell="1" allowOverlap="1" wp14:anchorId="3810636F" wp14:editId="7AA503B2">
          <wp:simplePos x="0" y="0"/>
          <wp:positionH relativeFrom="page">
            <wp:posOffset>0</wp:posOffset>
          </wp:positionH>
          <wp:positionV relativeFrom="page">
            <wp:posOffset>9685867</wp:posOffset>
          </wp:positionV>
          <wp:extent cx="7559675" cy="1036320"/>
          <wp:effectExtent l="0" t="0" r="9525" b="5080"/>
          <wp:wrapTopAndBottom/>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_carta premio fondi.jpg"/>
                  <pic:cNvPicPr/>
                </pic:nvPicPr>
                <pic:blipFill>
                  <a:blip r:embed="rId1">
                    <a:extLst>
                      <a:ext uri="{28A0092B-C50C-407E-A947-70E740481C1C}">
                        <a14:useLocalDpi xmlns:a14="http://schemas.microsoft.com/office/drawing/2010/main" val="0"/>
                      </a:ext>
                    </a:extLst>
                  </a:blip>
                  <a:stretch>
                    <a:fillRect/>
                  </a:stretch>
                </pic:blipFill>
                <pic:spPr>
                  <a:xfrm>
                    <a:off x="0" y="0"/>
                    <a:ext cx="7559675" cy="103632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7F045A7" w14:textId="77777777" w:rsidR="0036795D" w:rsidRDefault="0036795D" w:rsidP="009E7D1D">
      <w:r>
        <w:separator/>
      </w:r>
    </w:p>
  </w:footnote>
  <w:footnote w:type="continuationSeparator" w:id="0">
    <w:p w14:paraId="0DF4173D" w14:textId="77777777" w:rsidR="0036795D" w:rsidRDefault="0036795D" w:rsidP="009E7D1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C3B8F5" w14:textId="0FA9F889" w:rsidR="00A82844" w:rsidRDefault="00A82844">
    <w:r>
      <w:rPr>
        <w:noProof/>
      </w:rPr>
      <w:drawing>
        <wp:anchor distT="0" distB="0" distL="114300" distR="114300" simplePos="0" relativeHeight="251655680" behindDoc="1" locked="0" layoutInCell="1" allowOverlap="1" wp14:anchorId="497C18C7" wp14:editId="34D2A252">
          <wp:simplePos x="0" y="0"/>
          <wp:positionH relativeFrom="margin">
            <wp:align>center</wp:align>
          </wp:positionH>
          <wp:positionV relativeFrom="margin">
            <wp:align>center</wp:align>
          </wp:positionV>
          <wp:extent cx="7562215" cy="10692130"/>
          <wp:effectExtent l="0" t="0" r="635" b="0"/>
          <wp:wrapNone/>
          <wp:docPr id="9" name="Immagine 9" descr="00_b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00_bas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2215" cy="10692130"/>
                  </a:xfrm>
                  <a:prstGeom prst="rect">
                    <a:avLst/>
                  </a:prstGeom>
                  <a:noFill/>
                </pic:spPr>
              </pic:pic>
            </a:graphicData>
          </a:graphic>
          <wp14:sizeRelH relativeFrom="page">
            <wp14:pctWidth>0</wp14:pctWidth>
          </wp14:sizeRelH>
          <wp14:sizeRelV relativeFrom="page">
            <wp14:pctHeight>0</wp14:pctHeight>
          </wp14:sizeRelV>
        </wp:anchor>
      </w:drawing>
    </w:r>
    <w:r w:rsidR="007C2D5A">
      <w:rPr>
        <w:noProof/>
      </w:rPr>
      <w:pict w14:anchorId="38CF73A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49" type="#_x0000_t75" alt="01_prima" style="position:absolute;margin-left:0;margin-top:0;width:595.2pt;height:841.9pt;z-index:-251656704;mso-wrap-edited:f;mso-width-percent:0;mso-height-percent:0;mso-position-horizontal:center;mso-position-horizontal-relative:margin;mso-position-vertical:center;mso-position-vertical-relative:margin;mso-width-percent:0;mso-height-percent:0" wrapcoords="-27 0 -27 21561 21600 21561 21600 0 -27 0">
          <v:imagedata r:id="rId2" o:title="01_prima"/>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17355A" w14:textId="1A026B85" w:rsidR="00A82844" w:rsidRPr="00E05471" w:rsidRDefault="00A82844" w:rsidP="00E05471">
    <w:pPr>
      <w:pStyle w:val="Intestazione"/>
    </w:pPr>
    <w:r>
      <w:rPr>
        <w:noProof/>
      </w:rPr>
      <w:drawing>
        <wp:anchor distT="0" distB="0" distL="114300" distR="114300" simplePos="0" relativeHeight="251656704" behindDoc="1" locked="0" layoutInCell="1" allowOverlap="1" wp14:anchorId="49344E27" wp14:editId="7B3EB42B">
          <wp:simplePos x="0" y="0"/>
          <wp:positionH relativeFrom="page">
            <wp:align>left</wp:align>
          </wp:positionH>
          <wp:positionV relativeFrom="page">
            <wp:align>top</wp:align>
          </wp:positionV>
          <wp:extent cx="7556387" cy="1273617"/>
          <wp:effectExtent l="0" t="0" r="0" b="0"/>
          <wp:wrapNone/>
          <wp:docPr id="78" name="Immagin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3_carta premio fondi.jpg"/>
                  <pic:cNvPicPr/>
                </pic:nvPicPr>
                <pic:blipFill>
                  <a:blip r:embed="rId1">
                    <a:extLst>
                      <a:ext uri="{28A0092B-C50C-407E-A947-70E740481C1C}">
                        <a14:useLocalDpi xmlns:a14="http://schemas.microsoft.com/office/drawing/2010/main" val="0"/>
                      </a:ext>
                    </a:extLst>
                  </a:blip>
                  <a:stretch>
                    <a:fillRect/>
                  </a:stretch>
                </pic:blipFill>
                <pic:spPr>
                  <a:xfrm>
                    <a:off x="0" y="0"/>
                    <a:ext cx="7556387" cy="1273617"/>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574E5D" w14:textId="202B7D50" w:rsidR="00A82844" w:rsidRDefault="00A82844">
    <w:r>
      <w:rPr>
        <w:noProof/>
      </w:rPr>
      <w:drawing>
        <wp:anchor distT="0" distB="0" distL="114300" distR="114300" simplePos="0" relativeHeight="251657728" behindDoc="1" locked="0" layoutInCell="1" allowOverlap="1" wp14:anchorId="4E0CD3EC" wp14:editId="3B906D13">
          <wp:simplePos x="0" y="0"/>
          <wp:positionH relativeFrom="page">
            <wp:posOffset>0</wp:posOffset>
          </wp:positionH>
          <wp:positionV relativeFrom="page">
            <wp:posOffset>0</wp:posOffset>
          </wp:positionV>
          <wp:extent cx="7559370" cy="2036153"/>
          <wp:effectExtent l="0" t="0" r="10160" b="0"/>
          <wp:wrapNone/>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_head carta premio comunicato-01.jpg"/>
                  <pic:cNvPicPr/>
                </pic:nvPicPr>
                <pic:blipFill>
                  <a:blip r:embed="rId1">
                    <a:extLst>
                      <a:ext uri="{28A0092B-C50C-407E-A947-70E740481C1C}">
                        <a14:useLocalDpi xmlns:a14="http://schemas.microsoft.com/office/drawing/2010/main" val="0"/>
                      </a:ext>
                    </a:extLst>
                  </a:blip>
                  <a:stretch>
                    <a:fillRect/>
                  </a:stretch>
                </pic:blipFill>
                <pic:spPr>
                  <a:xfrm>
                    <a:off x="0" y="0"/>
                    <a:ext cx="7559370" cy="2036153"/>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454"/>
  <w:hyphenationZone w:val="283"/>
  <w:drawingGridHorizontalSpacing w:val="238"/>
  <w:drawingGridVerticalSpacing w:val="238"/>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7D1D"/>
    <w:rsid w:val="0004344A"/>
    <w:rsid w:val="00046ED0"/>
    <w:rsid w:val="00066DB8"/>
    <w:rsid w:val="000B29E6"/>
    <w:rsid w:val="000B7903"/>
    <w:rsid w:val="001073FD"/>
    <w:rsid w:val="00150561"/>
    <w:rsid w:val="001613E4"/>
    <w:rsid w:val="0017055F"/>
    <w:rsid w:val="001A1567"/>
    <w:rsid w:val="001D3047"/>
    <w:rsid w:val="001D33F8"/>
    <w:rsid w:val="001F43AE"/>
    <w:rsid w:val="00220418"/>
    <w:rsid w:val="002C1C4F"/>
    <w:rsid w:val="002F2CF8"/>
    <w:rsid w:val="0030206F"/>
    <w:rsid w:val="00325728"/>
    <w:rsid w:val="003277FB"/>
    <w:rsid w:val="00342496"/>
    <w:rsid w:val="00345A48"/>
    <w:rsid w:val="0036795D"/>
    <w:rsid w:val="00377688"/>
    <w:rsid w:val="0038537B"/>
    <w:rsid w:val="00386000"/>
    <w:rsid w:val="003A2D2D"/>
    <w:rsid w:val="003D0926"/>
    <w:rsid w:val="003E1FC0"/>
    <w:rsid w:val="004375EE"/>
    <w:rsid w:val="0047480A"/>
    <w:rsid w:val="00483237"/>
    <w:rsid w:val="004C1D4F"/>
    <w:rsid w:val="004D2CBB"/>
    <w:rsid w:val="004F5F8A"/>
    <w:rsid w:val="00510791"/>
    <w:rsid w:val="005247FE"/>
    <w:rsid w:val="00562222"/>
    <w:rsid w:val="00575F1E"/>
    <w:rsid w:val="005D429E"/>
    <w:rsid w:val="005D4A2A"/>
    <w:rsid w:val="005E3911"/>
    <w:rsid w:val="00610A26"/>
    <w:rsid w:val="0062055C"/>
    <w:rsid w:val="00673A7E"/>
    <w:rsid w:val="00683C7B"/>
    <w:rsid w:val="00694701"/>
    <w:rsid w:val="006B77E9"/>
    <w:rsid w:val="006C029C"/>
    <w:rsid w:val="006D5C42"/>
    <w:rsid w:val="006F2C03"/>
    <w:rsid w:val="00701235"/>
    <w:rsid w:val="00756CEE"/>
    <w:rsid w:val="007948E0"/>
    <w:rsid w:val="0079512B"/>
    <w:rsid w:val="007C2D5A"/>
    <w:rsid w:val="007C5A0E"/>
    <w:rsid w:val="007C6ADD"/>
    <w:rsid w:val="007D587B"/>
    <w:rsid w:val="00815ECF"/>
    <w:rsid w:val="00834BD0"/>
    <w:rsid w:val="00857D39"/>
    <w:rsid w:val="0086410A"/>
    <w:rsid w:val="00875CA3"/>
    <w:rsid w:val="00883A3A"/>
    <w:rsid w:val="008A1F2E"/>
    <w:rsid w:val="008B3595"/>
    <w:rsid w:val="008D6D9F"/>
    <w:rsid w:val="00916562"/>
    <w:rsid w:val="00941656"/>
    <w:rsid w:val="00950B7C"/>
    <w:rsid w:val="009B658B"/>
    <w:rsid w:val="009C4FBE"/>
    <w:rsid w:val="009E64E5"/>
    <w:rsid w:val="009E7D1D"/>
    <w:rsid w:val="00A03E8B"/>
    <w:rsid w:val="00A06FDE"/>
    <w:rsid w:val="00A1417C"/>
    <w:rsid w:val="00A363F8"/>
    <w:rsid w:val="00A7531B"/>
    <w:rsid w:val="00A82115"/>
    <w:rsid w:val="00A82844"/>
    <w:rsid w:val="00AA7A0D"/>
    <w:rsid w:val="00B1253A"/>
    <w:rsid w:val="00BA4C09"/>
    <w:rsid w:val="00BC486D"/>
    <w:rsid w:val="00C11BB9"/>
    <w:rsid w:val="00C31C09"/>
    <w:rsid w:val="00C32016"/>
    <w:rsid w:val="00C55612"/>
    <w:rsid w:val="00C57367"/>
    <w:rsid w:val="00C8791C"/>
    <w:rsid w:val="00CF572A"/>
    <w:rsid w:val="00D21131"/>
    <w:rsid w:val="00D60061"/>
    <w:rsid w:val="00D9028C"/>
    <w:rsid w:val="00DA00E3"/>
    <w:rsid w:val="00DC22B0"/>
    <w:rsid w:val="00DC6DD1"/>
    <w:rsid w:val="00DE3617"/>
    <w:rsid w:val="00DE497F"/>
    <w:rsid w:val="00E05471"/>
    <w:rsid w:val="00E558D7"/>
    <w:rsid w:val="00E55CA6"/>
    <w:rsid w:val="00E74603"/>
    <w:rsid w:val="00E8720F"/>
    <w:rsid w:val="00F0015D"/>
    <w:rsid w:val="00F029A1"/>
    <w:rsid w:val="00F126E2"/>
    <w:rsid w:val="00F12E6A"/>
    <w:rsid w:val="00F16955"/>
    <w:rsid w:val="00F22F6F"/>
    <w:rsid w:val="00F8392F"/>
    <w:rsid w:val="00FB5226"/>
    <w:rsid w:val="00FC3042"/>
    <w:rsid w:val="00FE65EA"/>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532260F5"/>
  <w14:defaultImageDpi w14:val="300"/>
  <w15:docId w15:val="{2254A3F7-8678-4B39-AA44-DAEF02B24E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it-IT" w:eastAsia="it-IT"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aliases w:val="testo_corrente"/>
    <w:qFormat/>
    <w:rsid w:val="00883A3A"/>
    <w:pPr>
      <w:tabs>
        <w:tab w:val="left" w:pos="454"/>
        <w:tab w:val="left" w:pos="907"/>
      </w:tabs>
      <w:spacing w:line="240" w:lineRule="exact"/>
    </w:pPr>
    <w:rPr>
      <w:rFonts w:ascii="Arial" w:hAnsi="Arial"/>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Indirizzoedatiintesta">
    <w:name w:val="Indirizzo e dati in testa"/>
    <w:basedOn w:val="Normale"/>
    <w:qFormat/>
    <w:rsid w:val="00E8720F"/>
    <w:pPr>
      <w:ind w:left="2200"/>
    </w:pPr>
  </w:style>
  <w:style w:type="paragraph" w:styleId="Pidipagina">
    <w:name w:val="footer"/>
    <w:basedOn w:val="Normale"/>
    <w:link w:val="PidipaginaCarattere"/>
    <w:uiPriority w:val="99"/>
    <w:unhideWhenUsed/>
    <w:rsid w:val="009E7D1D"/>
    <w:pPr>
      <w:tabs>
        <w:tab w:val="center" w:pos="4819"/>
        <w:tab w:val="right" w:pos="9638"/>
      </w:tabs>
    </w:pPr>
  </w:style>
  <w:style w:type="character" w:customStyle="1" w:styleId="PidipaginaCarattere">
    <w:name w:val="Piè di pagina Carattere"/>
    <w:basedOn w:val="Carpredefinitoparagrafo"/>
    <w:link w:val="Pidipagina"/>
    <w:uiPriority w:val="99"/>
    <w:rsid w:val="009E7D1D"/>
  </w:style>
  <w:style w:type="paragraph" w:customStyle="1" w:styleId="Paragrafobase">
    <w:name w:val="[Paragrafo base]"/>
    <w:basedOn w:val="Normale"/>
    <w:uiPriority w:val="99"/>
    <w:rsid w:val="00BC486D"/>
    <w:pPr>
      <w:widowControl w:val="0"/>
      <w:autoSpaceDE w:val="0"/>
      <w:autoSpaceDN w:val="0"/>
      <w:adjustRightInd w:val="0"/>
      <w:textAlignment w:val="center"/>
    </w:pPr>
    <w:rPr>
      <w:rFonts w:ascii="MinionPro-Regular" w:hAnsi="MinionPro-Regular" w:cs="MinionPro-Regular"/>
      <w:color w:val="000000"/>
    </w:rPr>
  </w:style>
  <w:style w:type="character" w:customStyle="1" w:styleId="NewRailCartaIntestata">
    <w:name w:val="New Rail_Carta Intestata"/>
    <w:uiPriority w:val="99"/>
    <w:rsid w:val="001F43AE"/>
    <w:rPr>
      <w:rFonts w:ascii="NewRailAlphabet-Light" w:hAnsi="NewRailAlphabet-Light" w:cs="NewRailAlphabet-Light"/>
      <w:sz w:val="20"/>
      <w:szCs w:val="20"/>
    </w:rPr>
  </w:style>
  <w:style w:type="paragraph" w:styleId="Testofumetto">
    <w:name w:val="Balloon Text"/>
    <w:basedOn w:val="Normale"/>
    <w:link w:val="TestofumettoCarattere"/>
    <w:uiPriority w:val="99"/>
    <w:semiHidden/>
    <w:unhideWhenUsed/>
    <w:rsid w:val="00F126E2"/>
    <w:rPr>
      <w:rFonts w:ascii="Lucida Grande" w:hAnsi="Lucida Grande" w:cs="Lucida Grande"/>
      <w:sz w:val="18"/>
      <w:szCs w:val="18"/>
    </w:rPr>
  </w:style>
  <w:style w:type="character" w:customStyle="1" w:styleId="TestofumettoCarattere">
    <w:name w:val="Testo fumetto Carattere"/>
    <w:basedOn w:val="Carpredefinitoparagrafo"/>
    <w:link w:val="Testofumetto"/>
    <w:uiPriority w:val="99"/>
    <w:semiHidden/>
    <w:rsid w:val="00F126E2"/>
    <w:rPr>
      <w:rFonts w:ascii="Lucida Grande" w:hAnsi="Lucida Grande" w:cs="Lucida Grande"/>
      <w:sz w:val="18"/>
      <w:szCs w:val="18"/>
    </w:rPr>
  </w:style>
  <w:style w:type="paragraph" w:styleId="Intestazione">
    <w:name w:val="header"/>
    <w:basedOn w:val="Normale"/>
    <w:link w:val="IntestazioneCarattere"/>
    <w:uiPriority w:val="99"/>
    <w:semiHidden/>
    <w:unhideWhenUsed/>
    <w:rsid w:val="00E05471"/>
    <w:pPr>
      <w:tabs>
        <w:tab w:val="clear" w:pos="907"/>
        <w:tab w:val="center" w:pos="4819"/>
        <w:tab w:val="right" w:pos="9638"/>
      </w:tabs>
      <w:spacing w:line="240" w:lineRule="auto"/>
    </w:pPr>
  </w:style>
  <w:style w:type="character" w:customStyle="1" w:styleId="IntestazioneCarattere">
    <w:name w:val="Intestazione Carattere"/>
    <w:basedOn w:val="Carpredefinitoparagrafo"/>
    <w:link w:val="Intestazione"/>
    <w:uiPriority w:val="99"/>
    <w:semiHidden/>
    <w:rsid w:val="00E05471"/>
    <w:rPr>
      <w:rFonts w:ascii="New Rail Alphabet Light" w:hAnsi="New Rail Alphabet Light"/>
      <w:sz w:val="20"/>
      <w:szCs w:val="20"/>
    </w:rPr>
  </w:style>
  <w:style w:type="paragraph" w:customStyle="1" w:styleId="Pa0">
    <w:name w:val="Pa0"/>
    <w:basedOn w:val="Normale"/>
    <w:next w:val="Normale"/>
    <w:uiPriority w:val="99"/>
    <w:rsid w:val="00F029A1"/>
    <w:pPr>
      <w:tabs>
        <w:tab w:val="clear" w:pos="907"/>
      </w:tabs>
      <w:autoSpaceDE w:val="0"/>
      <w:autoSpaceDN w:val="0"/>
      <w:adjustRightInd w:val="0"/>
      <w:spacing w:line="241" w:lineRule="atLeast"/>
    </w:pPr>
    <w:rPr>
      <w:rFonts w:ascii="ITC Century Std Book" w:eastAsia="Calibri" w:hAnsi="ITC Century Std Book" w:cs="Times New Roman"/>
      <w:sz w:val="24"/>
      <w:szCs w:val="24"/>
    </w:rPr>
  </w:style>
  <w:style w:type="character" w:customStyle="1" w:styleId="A1">
    <w:name w:val="A1"/>
    <w:uiPriority w:val="99"/>
    <w:rsid w:val="0004344A"/>
    <w:rPr>
      <w:rFonts w:ascii="Century Expanded LT Std" w:hAnsi="Century Expanded LT Std" w:cs="Century Expanded LT Std"/>
      <w:color w:val="221E1F"/>
      <w:sz w:val="20"/>
      <w:szCs w:val="20"/>
    </w:rPr>
  </w:style>
  <w:style w:type="character" w:customStyle="1" w:styleId="EnfasiBold">
    <w:name w:val="Enfasi Bold"/>
    <w:basedOn w:val="Carpredefinitoparagrafo"/>
    <w:uiPriority w:val="1"/>
    <w:qFormat/>
    <w:rsid w:val="00857D39"/>
    <w:rPr>
      <w:rFonts w:ascii="New Rail Alphabet Bold" w:hAnsi="New Rail Alphabet Bold"/>
    </w:rPr>
  </w:style>
  <w:style w:type="character" w:customStyle="1" w:styleId="ItalicBase">
    <w:name w:val="Italic Base"/>
    <w:basedOn w:val="Carpredefinitoparagrafo"/>
    <w:uiPriority w:val="1"/>
    <w:rsid w:val="00DA00E3"/>
    <w:rPr>
      <w:rFonts w:ascii="New Rail Alphabet Light" w:hAnsi="New Rail Alphabet Light"/>
      <w:i/>
    </w:rPr>
  </w:style>
  <w:style w:type="character" w:styleId="Numeropagina">
    <w:name w:val="page number"/>
    <w:basedOn w:val="Carpredefinitoparagrafo"/>
    <w:uiPriority w:val="99"/>
    <w:semiHidden/>
    <w:unhideWhenUsed/>
    <w:rsid w:val="001D3047"/>
  </w:style>
  <w:style w:type="character" w:customStyle="1" w:styleId="st">
    <w:name w:val="st"/>
    <w:basedOn w:val="Carpredefinitoparagrafo"/>
    <w:rsid w:val="00C11BB9"/>
  </w:style>
  <w:style w:type="character" w:styleId="Enfasicorsivo">
    <w:name w:val="Emphasis"/>
    <w:basedOn w:val="Carpredefinitoparagrafo"/>
    <w:uiPriority w:val="20"/>
    <w:qFormat/>
    <w:rsid w:val="00C11BB9"/>
    <w:rPr>
      <w:i/>
      <w:iCs/>
    </w:rPr>
  </w:style>
  <w:style w:type="paragraph" w:customStyle="1" w:styleId="NormaleWeb1">
    <w:name w:val="Normale (Web)1"/>
    <w:basedOn w:val="Normale"/>
    <w:rsid w:val="00610A26"/>
    <w:pPr>
      <w:tabs>
        <w:tab w:val="clear" w:pos="454"/>
        <w:tab w:val="clear" w:pos="907"/>
      </w:tabs>
      <w:suppressAutoHyphens/>
      <w:spacing w:before="280" w:after="119" w:line="240" w:lineRule="auto"/>
    </w:pPr>
    <w:rPr>
      <w:rFonts w:ascii="Times New Roman" w:eastAsia="Times New Roman" w:hAnsi="Times New Roman" w:cs="Times New Roman"/>
      <w:sz w:val="24"/>
      <w:szCs w:val="24"/>
      <w:lang w:val="en-GB" w:eastAsia="zh-CN"/>
    </w:rPr>
  </w:style>
  <w:style w:type="paragraph" w:customStyle="1" w:styleId="western">
    <w:name w:val="western"/>
    <w:basedOn w:val="Normale"/>
    <w:rsid w:val="00610A26"/>
    <w:pPr>
      <w:tabs>
        <w:tab w:val="clear" w:pos="454"/>
        <w:tab w:val="clear" w:pos="907"/>
      </w:tabs>
      <w:suppressAutoHyphens/>
      <w:spacing w:before="280" w:after="119" w:line="240" w:lineRule="auto"/>
    </w:pPr>
    <w:rPr>
      <w:rFonts w:ascii="Times New Roman" w:eastAsia="Times New Roman" w:hAnsi="Times New Roman" w:cs="Times New Roman"/>
      <w:color w:val="000000"/>
      <w:sz w:val="24"/>
      <w:szCs w:val="24"/>
      <w:lang w:val="en-GB" w:eastAsia="zh-CN"/>
    </w:rPr>
  </w:style>
  <w:style w:type="paragraph" w:customStyle="1" w:styleId="temp">
    <w:name w:val="temp"/>
    <w:basedOn w:val="western"/>
    <w:rsid w:val="00610A26"/>
    <w:pPr>
      <w:spacing w:after="0" w:line="480" w:lineRule="auto"/>
    </w:pPr>
    <w:rPr>
      <w:rFonts w:ascii="Arial" w:hAnsi="Arial" w:cs="Arial"/>
    </w:rPr>
  </w:style>
  <w:style w:type="paragraph" w:customStyle="1" w:styleId="EndNoteBibliography">
    <w:name w:val="EndNote Bibliography"/>
    <w:basedOn w:val="Normale"/>
    <w:rsid w:val="00610A26"/>
    <w:pPr>
      <w:tabs>
        <w:tab w:val="clear" w:pos="454"/>
        <w:tab w:val="clear" w:pos="907"/>
      </w:tabs>
      <w:suppressAutoHyphens/>
      <w:spacing w:line="100" w:lineRule="atLeast"/>
    </w:pPr>
    <w:rPr>
      <w:rFonts w:ascii="Times New Roman" w:eastAsia="Times New Roman" w:hAnsi="Times New Roman" w:cs="Arial"/>
      <w:sz w:val="24"/>
      <w:szCs w:val="24"/>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4403203">
      <w:bodyDiv w:val="1"/>
      <w:marLeft w:val="0"/>
      <w:marRight w:val="0"/>
      <w:marTop w:val="0"/>
      <w:marBottom w:val="0"/>
      <w:divBdr>
        <w:top w:val="none" w:sz="0" w:space="0" w:color="auto"/>
        <w:left w:val="none" w:sz="0" w:space="0" w:color="auto"/>
        <w:bottom w:val="none" w:sz="0" w:space="0" w:color="auto"/>
        <w:right w:val="none" w:sz="0" w:space="0" w:color="auto"/>
      </w:divBdr>
    </w:div>
    <w:div w:id="147417257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3.xml.rels><?xml version="1.0" encoding="UTF-8" standalone="yes"?>
<Relationships xmlns="http://schemas.openxmlformats.org/package/2006/relationships"><Relationship Id="rId1" Type="http://schemas.openxmlformats.org/officeDocument/2006/relationships/image" Target="media/image5.jp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69871C-4135-4F0F-BEF5-9AFCE7EEAF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3</Pages>
  <Words>1480</Words>
  <Characters>8442</Characters>
  <Application>Microsoft Office Word</Application>
  <DocSecurity>0</DocSecurity>
  <Lines>70</Lines>
  <Paragraphs>19</Paragraphs>
  <ScaleCrop>false</ScaleCrop>
  <HeadingPairs>
    <vt:vector size="2" baseType="variant">
      <vt:variant>
        <vt:lpstr>Titolo</vt:lpstr>
      </vt:variant>
      <vt:variant>
        <vt:i4>1</vt:i4>
      </vt:variant>
    </vt:vector>
  </HeadingPairs>
  <TitlesOfParts>
    <vt:vector size="1" baseType="lpstr">
      <vt:lpstr/>
    </vt:vector>
  </TitlesOfParts>
  <Company>-</Company>
  <LinksUpToDate>false</LinksUpToDate>
  <CharactersWithSpaces>9903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dc:creator>
  <cp:keywords/>
  <dc:description/>
  <cp:lastModifiedBy>Silvia Cacco</cp:lastModifiedBy>
  <cp:revision>4</cp:revision>
  <cp:lastPrinted>2017-03-10T11:40:00Z</cp:lastPrinted>
  <dcterms:created xsi:type="dcterms:W3CDTF">2018-03-19T06:28:00Z</dcterms:created>
  <dcterms:modified xsi:type="dcterms:W3CDTF">2018-03-19T10:19:00Z</dcterms:modified>
</cp:coreProperties>
</file>