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93" w:rsidRDefault="00595593" w:rsidP="00595593">
      <w:pPr>
        <w:pStyle w:val="Default"/>
      </w:pPr>
    </w:p>
    <w:p w:rsidR="00595593" w:rsidRPr="00595593" w:rsidRDefault="00595593" w:rsidP="00595593">
      <w:pPr>
        <w:pStyle w:val="Default"/>
        <w:jc w:val="center"/>
        <w:rPr>
          <w:sz w:val="32"/>
          <w:szCs w:val="32"/>
        </w:rPr>
      </w:pPr>
      <w:r w:rsidRPr="00595593">
        <w:rPr>
          <w:b/>
          <w:bCs/>
          <w:sz w:val="32"/>
          <w:szCs w:val="32"/>
        </w:rPr>
        <w:t>I proponenti, il Team di Esperti al lavoro</w:t>
      </w:r>
    </w:p>
    <w:p w:rsidR="00595593" w:rsidRPr="00595593" w:rsidRDefault="00595593" w:rsidP="00595593">
      <w:pPr>
        <w:pStyle w:val="Default"/>
        <w:jc w:val="center"/>
        <w:rPr>
          <w:sz w:val="32"/>
          <w:szCs w:val="32"/>
        </w:rPr>
      </w:pPr>
      <w:r w:rsidRPr="00595593">
        <w:rPr>
          <w:b/>
          <w:bCs/>
          <w:sz w:val="32"/>
          <w:szCs w:val="32"/>
        </w:rPr>
        <w:t xml:space="preserve">e l’iter della Candidatura </w:t>
      </w:r>
      <w:r>
        <w:rPr>
          <w:b/>
          <w:bCs/>
          <w:sz w:val="32"/>
          <w:szCs w:val="32"/>
        </w:rPr>
        <w:br/>
      </w:r>
    </w:p>
    <w:p w:rsidR="00595593" w:rsidRDefault="00595593" w:rsidP="00595593">
      <w:pPr>
        <w:pStyle w:val="Default"/>
        <w:rPr>
          <w:sz w:val="32"/>
          <w:szCs w:val="32"/>
        </w:rPr>
      </w:pPr>
      <w:r w:rsidRPr="00595593">
        <w:rPr>
          <w:sz w:val="32"/>
          <w:szCs w:val="32"/>
        </w:rPr>
        <w:t xml:space="preserve">La </w:t>
      </w:r>
      <w:r w:rsidRPr="00595593">
        <w:rPr>
          <w:b/>
          <w:bCs/>
          <w:sz w:val="32"/>
          <w:szCs w:val="32"/>
        </w:rPr>
        <w:t xml:space="preserve">Candidatura </w:t>
      </w:r>
      <w:r w:rsidRPr="00595593">
        <w:rPr>
          <w:sz w:val="32"/>
          <w:szCs w:val="32"/>
        </w:rPr>
        <w:t xml:space="preserve">delle Terre del Prosecco Superiore a Patrimonio Universale dell’Umanità è ufficialmente sottoscritta da: </w:t>
      </w:r>
    </w:p>
    <w:p w:rsidR="00595593" w:rsidRPr="00595593" w:rsidRDefault="00595593" w:rsidP="00595593">
      <w:pPr>
        <w:pStyle w:val="Default"/>
        <w:rPr>
          <w:sz w:val="32"/>
          <w:szCs w:val="32"/>
        </w:rPr>
      </w:pPr>
    </w:p>
    <w:p w:rsidR="00595593" w:rsidRDefault="00595593" w:rsidP="00595593">
      <w:pPr>
        <w:pStyle w:val="Default"/>
        <w:rPr>
          <w:b/>
          <w:bCs/>
          <w:sz w:val="32"/>
          <w:szCs w:val="32"/>
        </w:rPr>
      </w:pPr>
      <w:r w:rsidRPr="00595593">
        <w:rPr>
          <w:b/>
          <w:bCs/>
          <w:sz w:val="32"/>
          <w:szCs w:val="32"/>
        </w:rPr>
        <w:t>Regione del Veneto</w:t>
      </w:r>
      <w:r w:rsidRPr="00595593">
        <w:rPr>
          <w:sz w:val="32"/>
          <w:szCs w:val="32"/>
        </w:rPr>
        <w:t xml:space="preserve">, nella persona del suo Presidente </w:t>
      </w:r>
      <w:r w:rsidRPr="00595593">
        <w:rPr>
          <w:b/>
          <w:bCs/>
          <w:sz w:val="32"/>
          <w:szCs w:val="32"/>
        </w:rPr>
        <w:t xml:space="preserve">Luca </w:t>
      </w:r>
      <w:proofErr w:type="spellStart"/>
      <w:r w:rsidRPr="00595593">
        <w:rPr>
          <w:b/>
          <w:bCs/>
          <w:sz w:val="32"/>
          <w:szCs w:val="32"/>
        </w:rPr>
        <w:t>Zaia</w:t>
      </w:r>
      <w:proofErr w:type="spellEnd"/>
      <w:r w:rsidRPr="00595593">
        <w:rPr>
          <w:b/>
          <w:bCs/>
          <w:sz w:val="32"/>
          <w:szCs w:val="32"/>
        </w:rPr>
        <w:t xml:space="preserve"> </w:t>
      </w:r>
    </w:p>
    <w:p w:rsidR="00595593" w:rsidRPr="00595593" w:rsidRDefault="00595593" w:rsidP="00595593">
      <w:pPr>
        <w:pStyle w:val="Default"/>
        <w:rPr>
          <w:sz w:val="32"/>
          <w:szCs w:val="32"/>
        </w:rPr>
      </w:pPr>
    </w:p>
    <w:p w:rsidR="00595593" w:rsidRDefault="00595593" w:rsidP="00595593">
      <w:pPr>
        <w:pStyle w:val="Default"/>
        <w:rPr>
          <w:sz w:val="32"/>
          <w:szCs w:val="32"/>
        </w:rPr>
      </w:pPr>
      <w:r w:rsidRPr="00595593">
        <w:rPr>
          <w:sz w:val="32"/>
          <w:szCs w:val="32"/>
        </w:rPr>
        <w:t xml:space="preserve">Dai Comuni interessati dal progetto di candidatura e aderenti all’Intesa Programmatica d’Area (IPA) “Terre Alte della Marca Trevigiana”: Pieve di Soligo (Comune capofila dell’IPA), Cison di Valmarino, Colle Umberto, Conegliano, Farra di Soligo, Follina, Miane, Refrontolo, Revine Lago, San Pietro di Feletto, San Vendemiano, Susegana, Tarzo, Valdobbiadene, Vidor, Vittorio Veneto </w:t>
      </w:r>
    </w:p>
    <w:p w:rsidR="00595593" w:rsidRPr="00595593" w:rsidRDefault="00595593" w:rsidP="00595593">
      <w:pPr>
        <w:pStyle w:val="Default"/>
        <w:rPr>
          <w:sz w:val="32"/>
          <w:szCs w:val="32"/>
        </w:rPr>
      </w:pPr>
    </w:p>
    <w:p w:rsidR="00595593" w:rsidRDefault="00595593" w:rsidP="00595593">
      <w:pPr>
        <w:pStyle w:val="Default"/>
        <w:rPr>
          <w:b/>
          <w:bCs/>
          <w:sz w:val="32"/>
          <w:szCs w:val="32"/>
        </w:rPr>
      </w:pPr>
      <w:r w:rsidRPr="00595593">
        <w:rPr>
          <w:sz w:val="32"/>
          <w:szCs w:val="32"/>
        </w:rPr>
        <w:t xml:space="preserve">Dalla </w:t>
      </w:r>
      <w:r w:rsidRPr="00595593">
        <w:rPr>
          <w:b/>
          <w:bCs/>
          <w:sz w:val="32"/>
          <w:szCs w:val="32"/>
        </w:rPr>
        <w:t xml:space="preserve">Provincia di Treviso </w:t>
      </w:r>
    </w:p>
    <w:p w:rsidR="00595593" w:rsidRPr="00595593" w:rsidRDefault="00595593" w:rsidP="00595593">
      <w:pPr>
        <w:pStyle w:val="Default"/>
        <w:rPr>
          <w:sz w:val="32"/>
          <w:szCs w:val="32"/>
        </w:rPr>
      </w:pPr>
    </w:p>
    <w:p w:rsidR="00595593" w:rsidRDefault="00595593" w:rsidP="00595593">
      <w:pPr>
        <w:pStyle w:val="Default"/>
        <w:rPr>
          <w:b/>
          <w:bCs/>
          <w:sz w:val="32"/>
          <w:szCs w:val="32"/>
        </w:rPr>
      </w:pPr>
      <w:r w:rsidRPr="00595593">
        <w:rPr>
          <w:sz w:val="32"/>
          <w:szCs w:val="32"/>
        </w:rPr>
        <w:t xml:space="preserve">Dalla </w:t>
      </w:r>
      <w:r w:rsidRPr="00595593">
        <w:rPr>
          <w:b/>
          <w:bCs/>
          <w:sz w:val="32"/>
          <w:szCs w:val="32"/>
        </w:rPr>
        <w:t xml:space="preserve">Camera di Commercio Industria Artigianato e Agricoltura di Treviso </w:t>
      </w:r>
    </w:p>
    <w:p w:rsidR="00595593" w:rsidRPr="00595593" w:rsidRDefault="00595593" w:rsidP="00595593">
      <w:pPr>
        <w:pStyle w:val="Default"/>
        <w:rPr>
          <w:sz w:val="32"/>
          <w:szCs w:val="32"/>
        </w:rPr>
      </w:pPr>
    </w:p>
    <w:p w:rsidR="00595593" w:rsidRDefault="00595593" w:rsidP="00595593">
      <w:pPr>
        <w:pStyle w:val="Default"/>
        <w:rPr>
          <w:b/>
          <w:bCs/>
          <w:sz w:val="32"/>
          <w:szCs w:val="32"/>
        </w:rPr>
      </w:pPr>
      <w:r w:rsidRPr="00595593">
        <w:rPr>
          <w:sz w:val="32"/>
          <w:szCs w:val="32"/>
        </w:rPr>
        <w:t xml:space="preserve">Dal </w:t>
      </w:r>
      <w:r w:rsidRPr="00595593">
        <w:rPr>
          <w:b/>
          <w:bCs/>
          <w:sz w:val="32"/>
          <w:szCs w:val="32"/>
        </w:rPr>
        <w:t xml:space="preserve">Consorzio di Tutela del Vino Conegliano Valdobbiadene Prosecco Superiore DOCG </w:t>
      </w:r>
    </w:p>
    <w:p w:rsidR="00595593" w:rsidRPr="00595593" w:rsidRDefault="00595593" w:rsidP="00595593">
      <w:pPr>
        <w:pStyle w:val="Default"/>
        <w:rPr>
          <w:sz w:val="32"/>
          <w:szCs w:val="32"/>
        </w:rPr>
      </w:pPr>
    </w:p>
    <w:p w:rsidR="00595593" w:rsidRPr="00595593" w:rsidRDefault="00595593" w:rsidP="00595593">
      <w:pPr>
        <w:pStyle w:val="Default"/>
        <w:rPr>
          <w:sz w:val="32"/>
          <w:szCs w:val="32"/>
        </w:rPr>
      </w:pPr>
      <w:r w:rsidRPr="00595593">
        <w:rPr>
          <w:sz w:val="32"/>
          <w:szCs w:val="32"/>
        </w:rPr>
        <w:t xml:space="preserve">tramite la </w:t>
      </w:r>
    </w:p>
    <w:p w:rsidR="00595593" w:rsidRDefault="00595593" w:rsidP="00595593">
      <w:pPr>
        <w:pStyle w:val="Default"/>
        <w:rPr>
          <w:sz w:val="32"/>
          <w:szCs w:val="32"/>
        </w:rPr>
      </w:pPr>
      <w:r w:rsidRPr="00595593">
        <w:rPr>
          <w:sz w:val="32"/>
          <w:szCs w:val="32"/>
        </w:rPr>
        <w:t>Associazione temporanea di scopo “</w:t>
      </w:r>
      <w:r w:rsidRPr="00595593">
        <w:rPr>
          <w:b/>
          <w:bCs/>
          <w:sz w:val="32"/>
          <w:szCs w:val="32"/>
        </w:rPr>
        <w:t>Colline di Conegliano Valdobbiadene Patrimonio dell’Umanità</w:t>
      </w:r>
      <w:r w:rsidRPr="00595593">
        <w:rPr>
          <w:sz w:val="32"/>
          <w:szCs w:val="32"/>
        </w:rPr>
        <w:t>” - appositamente creata dal Consorzio di Tutela del Conegliano Valdobbiadene, dalla Provincia e dalla Camera di Commercio di Treviso, e dall’IPA (Intesa Programmatica d’Area) “</w:t>
      </w:r>
      <w:r w:rsidRPr="00595593">
        <w:rPr>
          <w:b/>
          <w:bCs/>
          <w:sz w:val="32"/>
          <w:szCs w:val="32"/>
        </w:rPr>
        <w:t>Terre Alte della Marca Trevigiana</w:t>
      </w:r>
      <w:r w:rsidRPr="00595593">
        <w:rPr>
          <w:sz w:val="32"/>
          <w:szCs w:val="32"/>
        </w:rPr>
        <w:t xml:space="preserve">”. </w:t>
      </w:r>
    </w:p>
    <w:p w:rsidR="00595593" w:rsidRDefault="00595593" w:rsidP="00595593">
      <w:pPr>
        <w:pStyle w:val="Default"/>
        <w:rPr>
          <w:sz w:val="32"/>
          <w:szCs w:val="32"/>
        </w:rPr>
      </w:pPr>
    </w:p>
    <w:p w:rsidR="00972FFD" w:rsidRPr="00972FFD" w:rsidRDefault="00972FFD" w:rsidP="00972FFD">
      <w:pPr>
        <w:jc w:val="both"/>
        <w:rPr>
          <w:rFonts w:asciiTheme="minorHAnsi" w:hAnsiTheme="minorHAnsi"/>
          <w:b/>
          <w:bCs/>
          <w:sz w:val="32"/>
          <w:szCs w:val="32"/>
        </w:rPr>
      </w:pPr>
      <w:r w:rsidRPr="00972FFD">
        <w:rPr>
          <w:rFonts w:asciiTheme="minorHAnsi" w:hAnsiTheme="minorHAnsi"/>
          <w:b/>
          <w:bCs/>
          <w:sz w:val="32"/>
          <w:szCs w:val="32"/>
        </w:rPr>
        <w:t xml:space="preserve">Il Comitato Scientifico </w:t>
      </w:r>
    </w:p>
    <w:p w:rsidR="00972FFD" w:rsidRPr="00972FFD" w:rsidRDefault="00972FFD" w:rsidP="00972FFD">
      <w:pPr>
        <w:jc w:val="both"/>
        <w:rPr>
          <w:rFonts w:asciiTheme="minorHAnsi" w:hAnsiTheme="minorHAnsi"/>
          <w:sz w:val="32"/>
          <w:szCs w:val="32"/>
        </w:rPr>
      </w:pPr>
    </w:p>
    <w:p w:rsidR="00972FFD" w:rsidRPr="00972FFD" w:rsidRDefault="00972FFD" w:rsidP="00972FFD">
      <w:pPr>
        <w:jc w:val="both"/>
        <w:rPr>
          <w:rFonts w:asciiTheme="minorHAnsi" w:hAnsiTheme="minorHAnsi"/>
          <w:sz w:val="32"/>
          <w:szCs w:val="32"/>
        </w:rPr>
      </w:pPr>
      <w:r w:rsidRPr="00972FFD">
        <w:rPr>
          <w:rFonts w:asciiTheme="minorHAnsi" w:hAnsiTheme="minorHAnsi"/>
          <w:sz w:val="32"/>
          <w:szCs w:val="32"/>
        </w:rPr>
        <w:t xml:space="preserve">Tra gli autorevolissimi esperti chiamati a comporre il Comitato Scientifico della candidatura e a prestare il proprio prestigioso contributo alle tesi addotte a sostegno della candidatura alla luce della pluridecennale conoscenza della Convenzione UNESCO del Patrimonio Mondiale e </w:t>
      </w:r>
      <w:r w:rsidRPr="00972FFD">
        <w:rPr>
          <w:rFonts w:asciiTheme="minorHAnsi" w:hAnsiTheme="minorHAnsi"/>
          <w:sz w:val="32"/>
          <w:szCs w:val="32"/>
        </w:rPr>
        <w:lastRenderedPageBreak/>
        <w:t xml:space="preserve">collaborazione con i suoi organismi attuativi, si segnalano: il prof. </w:t>
      </w:r>
      <w:r w:rsidRPr="00972FFD">
        <w:rPr>
          <w:rFonts w:asciiTheme="minorHAnsi" w:hAnsiTheme="minorHAnsi"/>
          <w:b/>
          <w:bCs/>
          <w:sz w:val="32"/>
          <w:szCs w:val="32"/>
        </w:rPr>
        <w:t xml:space="preserve">Mauro </w:t>
      </w:r>
      <w:proofErr w:type="spellStart"/>
      <w:r w:rsidRPr="00972FFD">
        <w:rPr>
          <w:rFonts w:asciiTheme="minorHAnsi" w:hAnsiTheme="minorHAnsi"/>
          <w:b/>
          <w:bCs/>
          <w:sz w:val="32"/>
          <w:szCs w:val="32"/>
        </w:rPr>
        <w:t>Agnoletti</w:t>
      </w:r>
      <w:proofErr w:type="spellEnd"/>
      <w:r w:rsidRPr="00972FFD">
        <w:rPr>
          <w:rFonts w:asciiTheme="minorHAnsi" w:hAnsiTheme="minorHAnsi"/>
          <w:sz w:val="32"/>
          <w:szCs w:val="32"/>
        </w:rPr>
        <w:t xml:space="preserve">, del Dipartimento di Gestione dei Sistemi Agricoli Alimentari e Forestali dell’Università di Firenze, da anni esperto ICOMOS Vice Chair dello </w:t>
      </w:r>
      <w:r w:rsidRPr="00972FFD">
        <w:rPr>
          <w:rFonts w:asciiTheme="minorHAnsi" w:hAnsiTheme="minorHAnsi"/>
          <w:i/>
          <w:iCs/>
          <w:sz w:val="32"/>
          <w:szCs w:val="32"/>
        </w:rPr>
        <w:t xml:space="preserve">GIAHS </w:t>
      </w:r>
      <w:proofErr w:type="spellStart"/>
      <w:r w:rsidRPr="00972FFD">
        <w:rPr>
          <w:rFonts w:asciiTheme="minorHAnsi" w:hAnsiTheme="minorHAnsi"/>
          <w:i/>
          <w:iCs/>
          <w:sz w:val="32"/>
          <w:szCs w:val="32"/>
        </w:rPr>
        <w:t>Scientific</w:t>
      </w:r>
      <w:proofErr w:type="spellEnd"/>
      <w:r w:rsidRPr="00972FFD">
        <w:rPr>
          <w:rFonts w:asciiTheme="minorHAnsi" w:hAnsiTheme="minorHAnsi"/>
          <w:i/>
          <w:iCs/>
          <w:sz w:val="32"/>
          <w:szCs w:val="32"/>
        </w:rPr>
        <w:t xml:space="preserve"> </w:t>
      </w:r>
      <w:proofErr w:type="spellStart"/>
      <w:r w:rsidRPr="00972FFD">
        <w:rPr>
          <w:rFonts w:asciiTheme="minorHAnsi" w:hAnsiTheme="minorHAnsi"/>
          <w:i/>
          <w:iCs/>
          <w:sz w:val="32"/>
          <w:szCs w:val="32"/>
        </w:rPr>
        <w:t>Advisory</w:t>
      </w:r>
      <w:proofErr w:type="spellEnd"/>
      <w:r w:rsidRPr="00972FFD">
        <w:rPr>
          <w:rFonts w:asciiTheme="minorHAnsi" w:hAnsiTheme="minorHAnsi"/>
          <w:i/>
          <w:iCs/>
          <w:sz w:val="32"/>
          <w:szCs w:val="32"/>
        </w:rPr>
        <w:t xml:space="preserve"> Group</w:t>
      </w:r>
      <w:r w:rsidRPr="00972FFD">
        <w:rPr>
          <w:rFonts w:asciiTheme="minorHAnsi" w:hAnsiTheme="minorHAnsi"/>
          <w:sz w:val="32"/>
          <w:szCs w:val="32"/>
        </w:rPr>
        <w:t xml:space="preserve"> della FAO, il prof. </w:t>
      </w:r>
      <w:proofErr w:type="spellStart"/>
      <w:r w:rsidRPr="00972FFD">
        <w:rPr>
          <w:rFonts w:asciiTheme="minorHAnsi" w:hAnsiTheme="minorHAnsi"/>
          <w:b/>
          <w:bCs/>
          <w:sz w:val="32"/>
          <w:szCs w:val="32"/>
        </w:rPr>
        <w:t>Jukka</w:t>
      </w:r>
      <w:proofErr w:type="spellEnd"/>
      <w:r w:rsidRPr="00972FFD">
        <w:rPr>
          <w:rFonts w:asciiTheme="minorHAnsi" w:hAnsiTheme="minorHAnsi"/>
          <w:b/>
          <w:bCs/>
          <w:sz w:val="32"/>
          <w:szCs w:val="32"/>
        </w:rPr>
        <w:t xml:space="preserve"> </w:t>
      </w:r>
      <w:proofErr w:type="spellStart"/>
      <w:r w:rsidRPr="00972FFD">
        <w:rPr>
          <w:rFonts w:asciiTheme="minorHAnsi" w:hAnsiTheme="minorHAnsi"/>
          <w:b/>
          <w:bCs/>
          <w:sz w:val="32"/>
          <w:szCs w:val="32"/>
        </w:rPr>
        <w:t>Jokilehto</w:t>
      </w:r>
      <w:proofErr w:type="spellEnd"/>
      <w:r w:rsidRPr="00972FFD">
        <w:rPr>
          <w:rFonts w:asciiTheme="minorHAnsi" w:hAnsiTheme="minorHAnsi"/>
          <w:sz w:val="32"/>
          <w:szCs w:val="32"/>
        </w:rPr>
        <w:t xml:space="preserve">, dell’Università di Nova </w:t>
      </w:r>
      <w:proofErr w:type="spellStart"/>
      <w:r w:rsidRPr="00972FFD">
        <w:rPr>
          <w:rFonts w:asciiTheme="minorHAnsi" w:hAnsiTheme="minorHAnsi"/>
          <w:sz w:val="32"/>
          <w:szCs w:val="32"/>
        </w:rPr>
        <w:t>Gorica</w:t>
      </w:r>
      <w:proofErr w:type="spellEnd"/>
      <w:r w:rsidRPr="00972FFD">
        <w:rPr>
          <w:rFonts w:asciiTheme="minorHAnsi" w:hAnsiTheme="minorHAnsi"/>
          <w:sz w:val="32"/>
          <w:szCs w:val="32"/>
        </w:rPr>
        <w:t xml:space="preserve">, e già </w:t>
      </w:r>
      <w:r w:rsidRPr="00972FFD">
        <w:rPr>
          <w:rFonts w:asciiTheme="minorHAnsi" w:hAnsiTheme="minorHAnsi"/>
          <w:i/>
          <w:iCs/>
          <w:sz w:val="32"/>
          <w:szCs w:val="32"/>
        </w:rPr>
        <w:t xml:space="preserve">Special Advisor to the </w:t>
      </w:r>
      <w:proofErr w:type="spellStart"/>
      <w:r w:rsidRPr="00972FFD">
        <w:rPr>
          <w:rFonts w:asciiTheme="minorHAnsi" w:hAnsiTheme="minorHAnsi"/>
          <w:i/>
          <w:iCs/>
          <w:sz w:val="32"/>
          <w:szCs w:val="32"/>
        </w:rPr>
        <w:t>Director</w:t>
      </w:r>
      <w:proofErr w:type="spellEnd"/>
      <w:r w:rsidRPr="00972FFD">
        <w:rPr>
          <w:rFonts w:asciiTheme="minorHAnsi" w:hAnsiTheme="minorHAnsi"/>
          <w:i/>
          <w:iCs/>
          <w:sz w:val="32"/>
          <w:szCs w:val="32"/>
        </w:rPr>
        <w:t xml:space="preserve"> General of ICCROM</w:t>
      </w:r>
      <w:r w:rsidRPr="00972FFD">
        <w:rPr>
          <w:rFonts w:asciiTheme="minorHAnsi" w:hAnsiTheme="minorHAnsi"/>
          <w:sz w:val="32"/>
          <w:szCs w:val="32"/>
        </w:rPr>
        <w:t xml:space="preserve">, il prof. </w:t>
      </w:r>
      <w:r w:rsidRPr="00972FFD">
        <w:rPr>
          <w:rFonts w:asciiTheme="minorHAnsi" w:hAnsiTheme="minorHAnsi"/>
          <w:b/>
          <w:bCs/>
          <w:sz w:val="32"/>
          <w:szCs w:val="32"/>
        </w:rPr>
        <w:t>Raffaele Milani</w:t>
      </w:r>
      <w:r w:rsidRPr="00972FFD">
        <w:rPr>
          <w:rFonts w:asciiTheme="minorHAnsi" w:hAnsiTheme="minorHAnsi"/>
          <w:sz w:val="32"/>
          <w:szCs w:val="32"/>
        </w:rPr>
        <w:t>, ordinario di filosofia del paesaggio e dell'ambiente dell’Università di Bologna, già membro della Comitato Scientifico sul progetto del Ministero dell'Ambiente francese "</w:t>
      </w:r>
      <w:r w:rsidRPr="00972FFD">
        <w:rPr>
          <w:rFonts w:asciiTheme="minorHAnsi" w:hAnsiTheme="minorHAnsi"/>
          <w:i/>
          <w:iCs/>
          <w:sz w:val="32"/>
          <w:szCs w:val="32"/>
        </w:rPr>
        <w:t xml:space="preserve">De la </w:t>
      </w:r>
      <w:proofErr w:type="spellStart"/>
      <w:r w:rsidRPr="00972FFD">
        <w:rPr>
          <w:rFonts w:asciiTheme="minorHAnsi" w:hAnsiTheme="minorHAnsi"/>
          <w:i/>
          <w:iCs/>
          <w:sz w:val="32"/>
          <w:szCs w:val="32"/>
        </w:rPr>
        <w:t>connaissance</w:t>
      </w:r>
      <w:proofErr w:type="spellEnd"/>
      <w:r w:rsidRPr="00972FFD">
        <w:rPr>
          <w:rFonts w:asciiTheme="minorHAnsi" w:hAnsiTheme="minorHAnsi"/>
          <w:i/>
          <w:iCs/>
          <w:sz w:val="32"/>
          <w:szCs w:val="32"/>
        </w:rPr>
        <w:t xml:space="preserve"> </w:t>
      </w:r>
      <w:proofErr w:type="spellStart"/>
      <w:r w:rsidRPr="00972FFD">
        <w:rPr>
          <w:rFonts w:asciiTheme="minorHAnsi" w:hAnsiTheme="minorHAnsi"/>
          <w:i/>
          <w:iCs/>
          <w:sz w:val="32"/>
          <w:szCs w:val="32"/>
        </w:rPr>
        <w:t>des</w:t>
      </w:r>
      <w:proofErr w:type="spellEnd"/>
      <w:r w:rsidRPr="00972FFD">
        <w:rPr>
          <w:rFonts w:asciiTheme="minorHAnsi" w:hAnsiTheme="minorHAnsi"/>
          <w:i/>
          <w:iCs/>
          <w:sz w:val="32"/>
          <w:szCs w:val="32"/>
        </w:rPr>
        <w:t xml:space="preserve"> </w:t>
      </w:r>
      <w:proofErr w:type="spellStart"/>
      <w:r w:rsidRPr="00972FFD">
        <w:rPr>
          <w:rFonts w:asciiTheme="minorHAnsi" w:hAnsiTheme="minorHAnsi"/>
          <w:i/>
          <w:iCs/>
          <w:sz w:val="32"/>
          <w:szCs w:val="32"/>
        </w:rPr>
        <w:t>paysages</w:t>
      </w:r>
      <w:proofErr w:type="spellEnd"/>
      <w:r w:rsidRPr="00972FFD">
        <w:rPr>
          <w:rFonts w:asciiTheme="minorHAnsi" w:hAnsiTheme="minorHAnsi"/>
          <w:i/>
          <w:iCs/>
          <w:sz w:val="32"/>
          <w:szCs w:val="32"/>
        </w:rPr>
        <w:t xml:space="preserve"> à </w:t>
      </w:r>
      <w:proofErr w:type="spellStart"/>
      <w:r w:rsidRPr="00972FFD">
        <w:rPr>
          <w:rFonts w:asciiTheme="minorHAnsi" w:hAnsiTheme="minorHAnsi"/>
          <w:i/>
          <w:iCs/>
          <w:sz w:val="32"/>
          <w:szCs w:val="32"/>
        </w:rPr>
        <w:t>l'action</w:t>
      </w:r>
      <w:proofErr w:type="spellEnd"/>
      <w:r w:rsidRPr="00972FFD">
        <w:rPr>
          <w:rFonts w:asciiTheme="minorHAnsi" w:hAnsiTheme="minorHAnsi"/>
          <w:i/>
          <w:iCs/>
          <w:sz w:val="32"/>
          <w:szCs w:val="32"/>
        </w:rPr>
        <w:t xml:space="preserve"> </w:t>
      </w:r>
      <w:proofErr w:type="spellStart"/>
      <w:r w:rsidRPr="00972FFD">
        <w:rPr>
          <w:rFonts w:asciiTheme="minorHAnsi" w:hAnsiTheme="minorHAnsi"/>
          <w:i/>
          <w:iCs/>
          <w:sz w:val="32"/>
          <w:szCs w:val="32"/>
        </w:rPr>
        <w:t>paysagère</w:t>
      </w:r>
      <w:proofErr w:type="spellEnd"/>
      <w:r w:rsidRPr="00972FFD">
        <w:rPr>
          <w:rFonts w:asciiTheme="minorHAnsi" w:hAnsiTheme="minorHAnsi"/>
          <w:sz w:val="32"/>
          <w:szCs w:val="32"/>
        </w:rPr>
        <w:t xml:space="preserve">",  il prof. </w:t>
      </w:r>
      <w:r w:rsidRPr="00972FFD">
        <w:rPr>
          <w:rFonts w:asciiTheme="minorHAnsi" w:hAnsiTheme="minorHAnsi"/>
          <w:b/>
          <w:bCs/>
          <w:sz w:val="32"/>
          <w:szCs w:val="32"/>
        </w:rPr>
        <w:t>Amerigo Restucci</w:t>
      </w:r>
      <w:r w:rsidRPr="00972FFD">
        <w:rPr>
          <w:rFonts w:asciiTheme="minorHAnsi" w:hAnsiTheme="minorHAnsi"/>
          <w:sz w:val="32"/>
          <w:szCs w:val="32"/>
        </w:rPr>
        <w:t xml:space="preserve">, ordinario di Storia dell’architettura, già rettore dell’Università IUAV, presidente dell'Accademia di Belle Arti di Venezia e coordinatore ICOMOS Nord Italia, il prof. </w:t>
      </w:r>
      <w:r w:rsidRPr="00972FFD">
        <w:rPr>
          <w:rFonts w:asciiTheme="minorHAnsi" w:hAnsiTheme="minorHAnsi"/>
          <w:b/>
          <w:bCs/>
          <w:sz w:val="32"/>
          <w:szCs w:val="32"/>
        </w:rPr>
        <w:t>Luigi Zangheri</w:t>
      </w:r>
      <w:r w:rsidRPr="00972FFD">
        <w:rPr>
          <w:rFonts w:asciiTheme="minorHAnsi" w:hAnsiTheme="minorHAnsi"/>
          <w:sz w:val="32"/>
          <w:szCs w:val="32"/>
        </w:rPr>
        <w:t>, ordinario di storia del giardino e del paesaggio e di restauro all’Università di Firenze, già presidente dell’</w:t>
      </w:r>
      <w:r w:rsidRPr="00972FFD">
        <w:rPr>
          <w:rFonts w:asciiTheme="minorHAnsi" w:hAnsiTheme="minorHAnsi"/>
          <w:i/>
          <w:iCs/>
          <w:sz w:val="32"/>
          <w:szCs w:val="32"/>
        </w:rPr>
        <w:t xml:space="preserve">International </w:t>
      </w:r>
      <w:proofErr w:type="spellStart"/>
      <w:r w:rsidRPr="00972FFD">
        <w:rPr>
          <w:rFonts w:asciiTheme="minorHAnsi" w:hAnsiTheme="minorHAnsi"/>
          <w:i/>
          <w:iCs/>
          <w:sz w:val="32"/>
          <w:szCs w:val="32"/>
        </w:rPr>
        <w:t>Scientific</w:t>
      </w:r>
      <w:proofErr w:type="spellEnd"/>
      <w:r w:rsidRPr="00972FFD">
        <w:rPr>
          <w:rFonts w:asciiTheme="minorHAnsi" w:hAnsiTheme="minorHAnsi"/>
          <w:i/>
          <w:iCs/>
          <w:sz w:val="32"/>
          <w:szCs w:val="32"/>
        </w:rPr>
        <w:t xml:space="preserve"> </w:t>
      </w:r>
      <w:proofErr w:type="spellStart"/>
      <w:r w:rsidRPr="00972FFD">
        <w:rPr>
          <w:rFonts w:asciiTheme="minorHAnsi" w:hAnsiTheme="minorHAnsi"/>
          <w:i/>
          <w:iCs/>
          <w:sz w:val="32"/>
          <w:szCs w:val="32"/>
        </w:rPr>
        <w:t>Committee</w:t>
      </w:r>
      <w:proofErr w:type="spellEnd"/>
      <w:r w:rsidRPr="00972FFD">
        <w:rPr>
          <w:rFonts w:asciiTheme="minorHAnsi" w:hAnsiTheme="minorHAnsi"/>
          <w:i/>
          <w:iCs/>
          <w:sz w:val="32"/>
          <w:szCs w:val="32"/>
        </w:rPr>
        <w:t xml:space="preserve"> on Cultural </w:t>
      </w:r>
      <w:proofErr w:type="spellStart"/>
      <w:r w:rsidRPr="00972FFD">
        <w:rPr>
          <w:rFonts w:asciiTheme="minorHAnsi" w:hAnsiTheme="minorHAnsi"/>
          <w:i/>
          <w:iCs/>
          <w:sz w:val="32"/>
          <w:szCs w:val="32"/>
        </w:rPr>
        <w:t>Landscape</w:t>
      </w:r>
      <w:proofErr w:type="spellEnd"/>
      <w:r w:rsidRPr="00972FFD">
        <w:rPr>
          <w:rFonts w:asciiTheme="minorHAnsi" w:hAnsiTheme="minorHAnsi"/>
          <w:i/>
          <w:iCs/>
          <w:sz w:val="32"/>
          <w:szCs w:val="32"/>
        </w:rPr>
        <w:t xml:space="preserve"> </w:t>
      </w:r>
      <w:r w:rsidRPr="00972FFD">
        <w:rPr>
          <w:rFonts w:asciiTheme="minorHAnsi" w:hAnsiTheme="minorHAnsi"/>
          <w:sz w:val="32"/>
          <w:szCs w:val="32"/>
        </w:rPr>
        <w:t>ICOMOS-IFLA (2005-2008).</w:t>
      </w:r>
    </w:p>
    <w:p w:rsidR="00972FFD" w:rsidRDefault="00972FFD" w:rsidP="00972FFD">
      <w:pPr>
        <w:jc w:val="both"/>
        <w:rPr>
          <w:rFonts w:ascii="Calibri Light" w:hAnsi="Calibri Light"/>
          <w:sz w:val="18"/>
          <w:szCs w:val="18"/>
        </w:rPr>
      </w:pPr>
    </w:p>
    <w:p w:rsidR="00972FFD" w:rsidRPr="00972FFD" w:rsidRDefault="00972FFD" w:rsidP="00972FFD">
      <w:pPr>
        <w:jc w:val="both"/>
        <w:rPr>
          <w:rFonts w:asciiTheme="minorHAnsi" w:hAnsiTheme="minorHAnsi"/>
          <w:b/>
          <w:bCs/>
          <w:sz w:val="32"/>
          <w:szCs w:val="32"/>
        </w:rPr>
      </w:pPr>
      <w:r w:rsidRPr="00972FFD">
        <w:rPr>
          <w:rFonts w:asciiTheme="minorHAnsi" w:hAnsiTheme="minorHAnsi"/>
          <w:b/>
          <w:bCs/>
          <w:sz w:val="32"/>
          <w:szCs w:val="32"/>
        </w:rPr>
        <w:t>Il Team di Esperti</w:t>
      </w:r>
    </w:p>
    <w:p w:rsidR="00972FFD" w:rsidRPr="00972FFD" w:rsidRDefault="00972FFD" w:rsidP="00972FFD">
      <w:pPr>
        <w:jc w:val="both"/>
        <w:rPr>
          <w:rFonts w:asciiTheme="minorHAnsi" w:hAnsiTheme="minorHAnsi"/>
          <w:sz w:val="32"/>
          <w:szCs w:val="32"/>
        </w:rPr>
      </w:pPr>
    </w:p>
    <w:p w:rsidR="00972FFD" w:rsidRPr="00972FFD" w:rsidRDefault="00972FFD" w:rsidP="00972FFD">
      <w:pPr>
        <w:jc w:val="both"/>
        <w:rPr>
          <w:rFonts w:asciiTheme="minorHAnsi" w:hAnsiTheme="minorHAnsi"/>
          <w:sz w:val="32"/>
          <w:szCs w:val="32"/>
        </w:rPr>
      </w:pPr>
      <w:r w:rsidRPr="00972FFD">
        <w:rPr>
          <w:rFonts w:asciiTheme="minorHAnsi" w:hAnsiTheme="minorHAnsi"/>
          <w:sz w:val="32"/>
          <w:szCs w:val="32"/>
        </w:rPr>
        <w:t xml:space="preserve">Il Team di Esperti </w:t>
      </w:r>
      <w:r w:rsidR="004A2AB4">
        <w:rPr>
          <w:rFonts w:asciiTheme="minorHAnsi" w:hAnsiTheme="minorHAnsi"/>
          <w:sz w:val="32"/>
          <w:szCs w:val="32"/>
        </w:rPr>
        <w:t>è</w:t>
      </w:r>
      <w:bookmarkStart w:id="0" w:name="_GoBack"/>
      <w:bookmarkEnd w:id="0"/>
      <w:r w:rsidRPr="00972FFD">
        <w:rPr>
          <w:rFonts w:asciiTheme="minorHAnsi" w:hAnsiTheme="minorHAnsi"/>
          <w:sz w:val="32"/>
          <w:szCs w:val="32"/>
        </w:rPr>
        <w:t xml:space="preserve"> composto da Dario </w:t>
      </w:r>
      <w:proofErr w:type="spellStart"/>
      <w:r w:rsidRPr="00972FFD">
        <w:rPr>
          <w:rFonts w:asciiTheme="minorHAnsi" w:hAnsiTheme="minorHAnsi"/>
          <w:sz w:val="32"/>
          <w:szCs w:val="32"/>
        </w:rPr>
        <w:t>Barazzuol</w:t>
      </w:r>
      <w:proofErr w:type="spellEnd"/>
      <w:r w:rsidRPr="00972FFD">
        <w:rPr>
          <w:rFonts w:asciiTheme="minorHAnsi" w:hAnsiTheme="minorHAnsi"/>
          <w:sz w:val="32"/>
          <w:szCs w:val="32"/>
        </w:rPr>
        <w:t xml:space="preserve">, Luigino </w:t>
      </w:r>
      <w:proofErr w:type="spellStart"/>
      <w:r w:rsidRPr="00972FFD">
        <w:rPr>
          <w:rFonts w:asciiTheme="minorHAnsi" w:hAnsiTheme="minorHAnsi"/>
          <w:sz w:val="32"/>
          <w:szCs w:val="32"/>
        </w:rPr>
        <w:t>Barisan</w:t>
      </w:r>
      <w:proofErr w:type="spellEnd"/>
      <w:r w:rsidRPr="00972FFD">
        <w:rPr>
          <w:rFonts w:asciiTheme="minorHAnsi" w:hAnsiTheme="minorHAnsi"/>
          <w:sz w:val="32"/>
          <w:szCs w:val="32"/>
        </w:rPr>
        <w:t xml:space="preserve">, Silvia Bevilacqua, Federica Bianchin, Vasco </w:t>
      </w:r>
      <w:proofErr w:type="spellStart"/>
      <w:r w:rsidRPr="00972FFD">
        <w:rPr>
          <w:rFonts w:asciiTheme="minorHAnsi" w:hAnsiTheme="minorHAnsi"/>
          <w:sz w:val="32"/>
          <w:szCs w:val="32"/>
        </w:rPr>
        <w:t>Boatto</w:t>
      </w:r>
      <w:proofErr w:type="spellEnd"/>
      <w:r w:rsidRPr="00972FFD">
        <w:rPr>
          <w:rFonts w:asciiTheme="minorHAnsi" w:hAnsiTheme="minorHAnsi"/>
          <w:sz w:val="32"/>
          <w:szCs w:val="32"/>
        </w:rPr>
        <w:t xml:space="preserve">, Sara Borsoi, Sebastian </w:t>
      </w:r>
      <w:proofErr w:type="spellStart"/>
      <w:r w:rsidRPr="00972FFD">
        <w:rPr>
          <w:rFonts w:asciiTheme="minorHAnsi" w:hAnsiTheme="minorHAnsi"/>
          <w:sz w:val="32"/>
          <w:szCs w:val="32"/>
        </w:rPr>
        <w:t>Candiago</w:t>
      </w:r>
      <w:proofErr w:type="spellEnd"/>
      <w:r w:rsidRPr="00972FFD">
        <w:rPr>
          <w:rFonts w:asciiTheme="minorHAnsi" w:hAnsiTheme="minorHAnsi"/>
          <w:sz w:val="32"/>
          <w:szCs w:val="32"/>
        </w:rPr>
        <w:t xml:space="preserve">, Francesco </w:t>
      </w:r>
      <w:proofErr w:type="spellStart"/>
      <w:r w:rsidRPr="00972FFD">
        <w:rPr>
          <w:rFonts w:asciiTheme="minorHAnsi" w:hAnsiTheme="minorHAnsi"/>
          <w:sz w:val="32"/>
          <w:szCs w:val="32"/>
        </w:rPr>
        <w:t>Carbognin</w:t>
      </w:r>
      <w:proofErr w:type="spellEnd"/>
      <w:r w:rsidRPr="00972FFD">
        <w:rPr>
          <w:rFonts w:asciiTheme="minorHAnsi" w:hAnsiTheme="minorHAnsi"/>
          <w:sz w:val="32"/>
          <w:szCs w:val="32"/>
        </w:rPr>
        <w:t xml:space="preserve">, Isabella </w:t>
      </w:r>
      <w:proofErr w:type="spellStart"/>
      <w:r w:rsidRPr="00972FFD">
        <w:rPr>
          <w:rFonts w:asciiTheme="minorHAnsi" w:hAnsiTheme="minorHAnsi"/>
          <w:sz w:val="32"/>
          <w:szCs w:val="32"/>
        </w:rPr>
        <w:t>Gianelloni</w:t>
      </w:r>
      <w:proofErr w:type="spellEnd"/>
      <w:r w:rsidRPr="00972FFD">
        <w:rPr>
          <w:rFonts w:asciiTheme="minorHAnsi" w:hAnsiTheme="minorHAnsi"/>
          <w:sz w:val="32"/>
          <w:szCs w:val="32"/>
        </w:rPr>
        <w:t xml:space="preserve">, Marta Mazza, Alessandro Minuto Rizzo, </w:t>
      </w:r>
      <w:proofErr w:type="spellStart"/>
      <w:r w:rsidRPr="00972FFD">
        <w:rPr>
          <w:rFonts w:asciiTheme="minorHAnsi" w:hAnsiTheme="minorHAnsi"/>
          <w:sz w:val="32"/>
          <w:szCs w:val="32"/>
        </w:rPr>
        <w:t>Juri</w:t>
      </w:r>
      <w:proofErr w:type="spellEnd"/>
      <w:r w:rsidRPr="00972FFD">
        <w:rPr>
          <w:rFonts w:asciiTheme="minorHAnsi" w:hAnsiTheme="minorHAnsi"/>
          <w:sz w:val="32"/>
          <w:szCs w:val="32"/>
        </w:rPr>
        <w:t xml:space="preserve"> Nascimbene, Michele </w:t>
      </w:r>
      <w:proofErr w:type="spellStart"/>
      <w:r w:rsidRPr="00972FFD">
        <w:rPr>
          <w:rFonts w:asciiTheme="minorHAnsi" w:hAnsiTheme="minorHAnsi"/>
          <w:sz w:val="32"/>
          <w:szCs w:val="32"/>
        </w:rPr>
        <w:t>Potocnik</w:t>
      </w:r>
      <w:proofErr w:type="spellEnd"/>
      <w:r w:rsidRPr="00972FFD">
        <w:rPr>
          <w:rFonts w:asciiTheme="minorHAnsi" w:hAnsiTheme="minorHAnsi"/>
          <w:sz w:val="32"/>
          <w:szCs w:val="32"/>
        </w:rPr>
        <w:t xml:space="preserve">, Diego Tomasi, nonché da Ottavio Di Bella e Alessandro Zagarella (responsabili tecnico operativi per la redazione della candidatura) e Leopoldo Saccon (responsabile operativo della candidatura).  </w:t>
      </w:r>
    </w:p>
    <w:p w:rsidR="001555B3" w:rsidRPr="00595593" w:rsidRDefault="001555B3" w:rsidP="00595593">
      <w:pPr>
        <w:rPr>
          <w:sz w:val="32"/>
          <w:szCs w:val="32"/>
        </w:rPr>
      </w:pPr>
    </w:p>
    <w:sectPr w:rsidR="001555B3" w:rsidRPr="005955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93"/>
    <w:rsid w:val="001555B3"/>
    <w:rsid w:val="004A2AB4"/>
    <w:rsid w:val="00595593"/>
    <w:rsid w:val="00972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FF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9559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FF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955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2016-09-21T08:27:00Z</cp:lastPrinted>
  <dcterms:created xsi:type="dcterms:W3CDTF">2016-09-21T08:35:00Z</dcterms:created>
  <dcterms:modified xsi:type="dcterms:W3CDTF">2016-09-21T08:35:00Z</dcterms:modified>
</cp:coreProperties>
</file>