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1A" w:rsidRDefault="00725D1A" w:rsidP="006D0738">
      <w:pPr>
        <w:spacing w:after="0" w:line="240" w:lineRule="auto"/>
        <w:ind w:left="540" w:right="45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Nuove sale dell’ala palladiana</w:t>
      </w:r>
    </w:p>
    <w:p w:rsidR="00725D1A" w:rsidRDefault="00725D1A" w:rsidP="006D0738">
      <w:pPr>
        <w:spacing w:after="0" w:line="240" w:lineRule="auto"/>
        <w:ind w:left="540" w:right="458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delle</w:t>
      </w:r>
      <w:proofErr w:type="gramEnd"/>
      <w:r>
        <w:rPr>
          <w:b/>
          <w:bCs/>
          <w:sz w:val="40"/>
          <w:szCs w:val="40"/>
        </w:rPr>
        <w:t xml:space="preserve"> Gallerie dell’Accademia di Venezia</w:t>
      </w:r>
    </w:p>
    <w:p w:rsidR="00725D1A" w:rsidRDefault="00725D1A" w:rsidP="006D0738">
      <w:pPr>
        <w:ind w:left="540" w:right="458"/>
        <w:jc w:val="both"/>
      </w:pPr>
    </w:p>
    <w:p w:rsidR="00725D1A" w:rsidRDefault="00725D1A" w:rsidP="006D0738">
      <w:pPr>
        <w:ind w:left="540" w:right="458"/>
        <w:jc w:val="both"/>
      </w:pPr>
      <w:r>
        <w:t xml:space="preserve">Nota </w:t>
      </w:r>
      <w:smartTag w:uri="urn:schemas-microsoft-com:office:smarttags" w:element="PersonName">
        <w:r>
          <w:t>Info</w:t>
        </w:r>
      </w:smartTag>
      <w:r>
        <w:t>rmativa</w:t>
      </w:r>
    </w:p>
    <w:p w:rsidR="00725D1A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rPr>
          <w:b/>
          <w:bCs/>
          <w:color w:val="000000"/>
          <w:sz w:val="24"/>
          <w:szCs w:val="24"/>
        </w:rPr>
      </w:pPr>
    </w:p>
    <w:p w:rsidR="00725D1A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right"/>
        <w:rPr>
          <w:b/>
          <w:bCs/>
          <w:color w:val="000000"/>
          <w:sz w:val="24"/>
          <w:szCs w:val="24"/>
        </w:rPr>
      </w:pPr>
    </w:p>
    <w:p w:rsidR="00725D1A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right"/>
        <w:rPr>
          <w:b/>
          <w:bCs/>
          <w:color w:val="000000"/>
          <w:sz w:val="24"/>
          <w:szCs w:val="24"/>
        </w:rPr>
      </w:pPr>
    </w:p>
    <w:p w:rsidR="00725D1A" w:rsidRPr="00FE51B3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right"/>
        <w:rPr>
          <w:b/>
          <w:bCs/>
          <w:color w:val="000000"/>
          <w:sz w:val="24"/>
          <w:szCs w:val="24"/>
        </w:rPr>
      </w:pPr>
      <w:r w:rsidRPr="00FE51B3">
        <w:rPr>
          <w:b/>
          <w:bCs/>
          <w:color w:val="000000"/>
          <w:sz w:val="24"/>
          <w:szCs w:val="24"/>
        </w:rPr>
        <w:t>Il successo internazionale della pittura veneziana del Settecento</w:t>
      </w:r>
    </w:p>
    <w:p w:rsidR="00725D1A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La prima sala (sala 8) punta l’accento sull’apertura internazionale della pittura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veneziana del Settecento che mai, come in questo secolo, raggiunge grandissimo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prestigio in Europa. Venezia, divenuta meta obbligata per i numerosi viaggiatori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stranieri scesi in Italia per compiere il </w:t>
      </w:r>
      <w:proofErr w:type="spellStart"/>
      <w:r w:rsidRPr="00E3614F">
        <w:rPr>
          <w:color w:val="262626"/>
          <w:sz w:val="24"/>
          <w:szCs w:val="24"/>
        </w:rPr>
        <w:t>Gran</w:t>
      </w:r>
      <w:r w:rsidR="00417F91">
        <w:rPr>
          <w:color w:val="262626"/>
          <w:sz w:val="24"/>
          <w:szCs w:val="24"/>
        </w:rPr>
        <w:t>d</w:t>
      </w:r>
      <w:proofErr w:type="spellEnd"/>
      <w:r w:rsidRPr="00E3614F">
        <w:rPr>
          <w:color w:val="262626"/>
          <w:sz w:val="24"/>
          <w:szCs w:val="24"/>
        </w:rPr>
        <w:t xml:space="preserve"> Tour, entra nei circuiti internazionali 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gli artisti locali, cui viene riconosciuta un’indiscussa supremazia, sono richiesti di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prestare servizio presso le più importanti corti europee.</w:t>
      </w:r>
    </w:p>
    <w:p w:rsidR="00725D1A" w:rsidRPr="00E3614F" w:rsidRDefault="00725D1A" w:rsidP="00417F91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La parete di fondo, caratterizzata da un intenso colore prugna, è dedicata agli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splendidi pastelli su carta di Rosalba Carriera, di cui le Gallerie possiedono una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significativa raccolta. Volti di dame e di gentiluomini dell’aristocrazia sfilano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dinanzi al visitatore che resta incantato dalla straordinaria capacità dell’artista di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interpretare un carattere e di restituirlo con segni di pastello in toni di svaporata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eleganza e di languida grazia. Il </w:t>
      </w:r>
      <w:r w:rsidRPr="00E3614F">
        <w:rPr>
          <w:i/>
          <w:iCs/>
          <w:color w:val="262626"/>
          <w:sz w:val="24"/>
          <w:szCs w:val="24"/>
        </w:rPr>
        <w:t xml:space="preserve">Ritratto del console di Francia Le Blond </w:t>
      </w:r>
      <w:r w:rsidRPr="00E3614F">
        <w:rPr>
          <w:color w:val="262626"/>
          <w:sz w:val="24"/>
          <w:szCs w:val="24"/>
        </w:rPr>
        <w:t>sta a ricordare i</w:t>
      </w:r>
      <w:r w:rsidR="00417F91"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grandi onori che la pittrice riscosse in ambito francese, non solo durante il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soggiorno parigino svoltosi tra il 1720 e il 1721, ma anche negli anni veneziani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grazie ai contatti intessuti con importanti collezionisti e conoscitori francesi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presenti in laguna, tra cui spiccano i nomi di Pierre </w:t>
      </w:r>
      <w:proofErr w:type="spellStart"/>
      <w:r w:rsidRPr="00E3614F">
        <w:rPr>
          <w:color w:val="262626"/>
          <w:sz w:val="24"/>
          <w:szCs w:val="24"/>
        </w:rPr>
        <w:t>Crozat</w:t>
      </w:r>
      <w:proofErr w:type="spellEnd"/>
      <w:r w:rsidRPr="00E3614F">
        <w:rPr>
          <w:color w:val="262626"/>
          <w:sz w:val="24"/>
          <w:szCs w:val="24"/>
        </w:rPr>
        <w:t xml:space="preserve"> e di Pierre-Jean </w:t>
      </w:r>
      <w:proofErr w:type="spellStart"/>
      <w:r w:rsidRPr="00E3614F">
        <w:rPr>
          <w:color w:val="262626"/>
          <w:sz w:val="24"/>
          <w:szCs w:val="24"/>
        </w:rPr>
        <w:t>Mariette</w:t>
      </w:r>
      <w:proofErr w:type="spellEnd"/>
      <w:r w:rsidRPr="00E3614F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La parete accanto ci restituisce l’immagine multiforme della città lagunare esportata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all’estero grazie al pennello di Marco Ricci, che svolse per molti anni attività di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scenografo in Inghilterra, di Antonio Canaletto, a lungo residente a Londra in più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riprese tra la seconda metà degli anni quaranta e la prima metà degli anni cinquanta,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e di Bernardo Bellotto, disputato dalle corti dell’Europa centrale e orientale: Dresda,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Monaco, Vienna, San Pietroburgo (dove non andrà mai) e Varsavia, dove morirà.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Una vita di certo meno movimentata condusse Francesco Guardi, che si allontanò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dalla città lagunare solo per bre</w:t>
      </w:r>
      <w:r>
        <w:rPr>
          <w:color w:val="262626"/>
          <w:sz w:val="24"/>
          <w:szCs w:val="24"/>
        </w:rPr>
        <w:t>vi soggiorni italiani, ma la diff</w:t>
      </w:r>
      <w:r w:rsidRPr="00E3614F">
        <w:rPr>
          <w:color w:val="262626"/>
          <w:sz w:val="24"/>
          <w:szCs w:val="24"/>
        </w:rPr>
        <w:t>usione delle sue opere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all’estero, specie in Inghilterra, dimostra quanto le sue vedute della città, così dense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di atmosfera e di note sentimentali, fossero apprezzate negli ambienti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internazionali.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Grande successo europeo riscuotono anche le scene mitologiche, improntate 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un’atmosfera di gioiosa Arcadia, scintillanti di colori brillanti e di cieli luminosi, di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Sebastiano Ricci e Jacopo </w:t>
      </w:r>
      <w:proofErr w:type="spellStart"/>
      <w:r w:rsidRPr="00E3614F">
        <w:rPr>
          <w:color w:val="262626"/>
          <w:sz w:val="24"/>
          <w:szCs w:val="24"/>
        </w:rPr>
        <w:t>Amigoni</w:t>
      </w:r>
      <w:proofErr w:type="spellEnd"/>
      <w:r w:rsidRPr="00E3614F">
        <w:rPr>
          <w:color w:val="262626"/>
          <w:sz w:val="24"/>
          <w:szCs w:val="24"/>
        </w:rPr>
        <w:t xml:space="preserve">. Del primo si espone </w:t>
      </w:r>
      <w:r w:rsidRPr="00E3614F">
        <w:rPr>
          <w:i/>
          <w:iCs/>
          <w:color w:val="262626"/>
          <w:sz w:val="24"/>
          <w:szCs w:val="24"/>
        </w:rPr>
        <w:t>Diana e Callisto</w:t>
      </w:r>
      <w:r w:rsidRPr="00E3614F">
        <w:rPr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probabilmente spettante agli anni del soggiorno inglese durante il quale l’artista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accumulò una tale fortuna economica che prima di lasciare il paese nel 1716 dovette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pagare una speciale tassa per esportare i suoi beni; del secondo, artista assai girovago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che si sposta tra la </w:t>
      </w:r>
      <w:r w:rsidRPr="00E3614F">
        <w:rPr>
          <w:color w:val="262626"/>
          <w:sz w:val="24"/>
          <w:szCs w:val="24"/>
        </w:rPr>
        <w:lastRenderedPageBreak/>
        <w:t>Baviera, l’Inghilterra, dove si stabilisce per quasi l’intero quarto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decennio, e la Spagna dove conclude la sua carriera, si presenta </w:t>
      </w:r>
      <w:r w:rsidRPr="00E3614F">
        <w:rPr>
          <w:i/>
          <w:iCs/>
          <w:color w:val="262626"/>
          <w:sz w:val="24"/>
          <w:szCs w:val="24"/>
        </w:rPr>
        <w:t>Venere e Adone</w:t>
      </w:r>
      <w:r w:rsidRPr="00E3614F">
        <w:rPr>
          <w:color w:val="262626"/>
          <w:sz w:val="24"/>
          <w:szCs w:val="24"/>
        </w:rPr>
        <w:t>.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i/>
          <w:iCs/>
          <w:color w:val="000000"/>
          <w:sz w:val="24"/>
          <w:szCs w:val="24"/>
        </w:rPr>
      </w:pP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i/>
          <w:iCs/>
          <w:color w:val="000000"/>
          <w:sz w:val="24"/>
          <w:szCs w:val="24"/>
        </w:rPr>
      </w:pPr>
    </w:p>
    <w:p w:rsidR="00725D1A" w:rsidRPr="00FE51B3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right"/>
        <w:rPr>
          <w:b/>
          <w:bCs/>
          <w:color w:val="000000"/>
          <w:sz w:val="24"/>
          <w:szCs w:val="24"/>
        </w:rPr>
      </w:pPr>
      <w:r w:rsidRPr="00FE51B3">
        <w:rPr>
          <w:b/>
          <w:bCs/>
          <w:color w:val="000000"/>
          <w:sz w:val="24"/>
          <w:szCs w:val="24"/>
        </w:rPr>
        <w:t>Il primitivo nucleo della collezione Accademica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i/>
          <w:iCs/>
          <w:color w:val="000000"/>
          <w:sz w:val="24"/>
          <w:szCs w:val="24"/>
        </w:rPr>
      </w:pPr>
    </w:p>
    <w:p w:rsidR="00725D1A" w:rsidRPr="00E3614F" w:rsidRDefault="00725D1A" w:rsidP="00AC411B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Nella seconda sala (sala 9) sono riuniti alcuni dipinti della seconda metà del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Settecento che fanno riferimen</w:t>
      </w:r>
      <w:r w:rsidR="00AC411B">
        <w:rPr>
          <w:color w:val="262626"/>
          <w:sz w:val="24"/>
          <w:szCs w:val="24"/>
        </w:rPr>
        <w:t>to ai primi tempi di vita dell’A</w:t>
      </w:r>
      <w:r w:rsidRPr="00E3614F">
        <w:rPr>
          <w:color w:val="262626"/>
          <w:sz w:val="24"/>
          <w:szCs w:val="24"/>
        </w:rPr>
        <w:t>ccademia veneziana,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istituita come scuola nel 1750 ma operante con un proprio statuto dal 1756. Sono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in prevalenza </w:t>
      </w:r>
      <w:r w:rsidRPr="00E3614F">
        <w:rPr>
          <w:i/>
          <w:iCs/>
          <w:color w:val="262626"/>
          <w:sz w:val="24"/>
          <w:szCs w:val="24"/>
        </w:rPr>
        <w:t xml:space="preserve">pièce de </w:t>
      </w:r>
      <w:proofErr w:type="spellStart"/>
      <w:r w:rsidRPr="00E3614F">
        <w:rPr>
          <w:i/>
          <w:iCs/>
          <w:color w:val="262626"/>
          <w:sz w:val="24"/>
          <w:szCs w:val="24"/>
        </w:rPr>
        <w:t>réception</w:t>
      </w:r>
      <w:proofErr w:type="spellEnd"/>
      <w:r w:rsidRPr="00E3614F">
        <w:rPr>
          <w:i/>
          <w:iCs/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presentati dai pittori, quale saggio della propria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abilità, al momento del loro ingresso nell’istituzione accademica veneziana; agli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artisti era lasciata facoltà di scegliere liberamente i soggetti da rappresentare, purché</w:t>
      </w:r>
      <w:r w:rsidR="00AC411B"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non fossero temi sacri, su tele che venivano consegnate loro direttamente e che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dovevano essere restituite dipinte entro tre mesi.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La preferenza viene generalmente accordata a temi di carattere allegorico con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personificazioni dell’Accademia e delle discipline artistiche insegnate al suo interno;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le scelte formali ed espressive bene rappresentano il clima culturale di cui sono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espressione, in bilico tra un</w:t>
      </w:r>
      <w:r w:rsidR="00AC411B">
        <w:rPr>
          <w:color w:val="262626"/>
          <w:sz w:val="24"/>
          <w:szCs w:val="24"/>
        </w:rPr>
        <w:t>o</w:t>
      </w:r>
      <w:r w:rsidRPr="00E3614F">
        <w:rPr>
          <w:color w:val="262626"/>
          <w:sz w:val="24"/>
          <w:szCs w:val="24"/>
        </w:rPr>
        <w:t xml:space="preserve"> sciolto pittoricismo tardobarocco, ricco di colore e di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luce, non certo esente da note di fresca eleganza rococò, e uno spirito accademico e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scolastico che già apre al gusto neoclassico.</w:t>
      </w:r>
    </w:p>
    <w:p w:rsidR="00725D1A" w:rsidRPr="00E3614F" w:rsidRDefault="00725D1A" w:rsidP="00AC411B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Una parete è dedicata ai dipinti di tema storico-allegorico, disposti attorno all’</w:t>
      </w:r>
      <w:r w:rsidRPr="00E3614F">
        <w:rPr>
          <w:i/>
          <w:iCs/>
          <w:color w:val="262626"/>
          <w:sz w:val="24"/>
          <w:szCs w:val="24"/>
        </w:rPr>
        <w:t xml:space="preserve">Annunciazione </w:t>
      </w:r>
      <w:r w:rsidRPr="00E3614F">
        <w:rPr>
          <w:color w:val="262626"/>
          <w:sz w:val="24"/>
          <w:szCs w:val="24"/>
        </w:rPr>
        <w:t>eseguita da Giambattista Pittoni per la prima sede dell’Accademia al</w:t>
      </w:r>
      <w:r>
        <w:rPr>
          <w:color w:val="262626"/>
          <w:sz w:val="24"/>
          <w:szCs w:val="24"/>
        </w:rPr>
        <w:t xml:space="preserve"> </w:t>
      </w:r>
      <w:proofErr w:type="spellStart"/>
      <w:r w:rsidRPr="00E3614F">
        <w:rPr>
          <w:color w:val="262626"/>
          <w:sz w:val="24"/>
          <w:szCs w:val="24"/>
        </w:rPr>
        <w:t>Fonteghetto</w:t>
      </w:r>
      <w:proofErr w:type="spellEnd"/>
      <w:r w:rsidRPr="00E3614F">
        <w:rPr>
          <w:color w:val="262626"/>
          <w:sz w:val="24"/>
          <w:szCs w:val="24"/>
        </w:rPr>
        <w:t xml:space="preserve"> della Farina. Vi trovano posto: </w:t>
      </w:r>
      <w:r w:rsidRPr="00E3614F">
        <w:rPr>
          <w:i/>
          <w:iCs/>
          <w:color w:val="262626"/>
          <w:sz w:val="24"/>
          <w:szCs w:val="24"/>
        </w:rPr>
        <w:t xml:space="preserve">Venezia premia le Arti </w:t>
      </w:r>
      <w:r w:rsidRPr="00E3614F">
        <w:rPr>
          <w:color w:val="262626"/>
          <w:sz w:val="24"/>
          <w:szCs w:val="24"/>
        </w:rPr>
        <w:t>di Michelangelo</w:t>
      </w:r>
      <w:r>
        <w:rPr>
          <w:color w:val="262626"/>
          <w:sz w:val="24"/>
          <w:szCs w:val="24"/>
        </w:rPr>
        <w:t xml:space="preserve"> </w:t>
      </w:r>
      <w:proofErr w:type="spellStart"/>
      <w:r w:rsidRPr="00E3614F">
        <w:rPr>
          <w:color w:val="262626"/>
          <w:sz w:val="24"/>
          <w:szCs w:val="24"/>
        </w:rPr>
        <w:t>Morlaiter</w:t>
      </w:r>
      <w:proofErr w:type="spellEnd"/>
      <w:r w:rsidRPr="00E3614F">
        <w:rPr>
          <w:color w:val="262626"/>
          <w:sz w:val="24"/>
          <w:szCs w:val="24"/>
        </w:rPr>
        <w:t>, del 1762 circa, che nell’eleganza formale e nel languido cromatismo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riflette ancora l’ascendenza di Jacopo </w:t>
      </w:r>
      <w:proofErr w:type="spellStart"/>
      <w:r w:rsidRPr="00E3614F">
        <w:rPr>
          <w:color w:val="262626"/>
          <w:sz w:val="24"/>
          <w:szCs w:val="24"/>
        </w:rPr>
        <w:t>Amigoni</w:t>
      </w:r>
      <w:proofErr w:type="spellEnd"/>
      <w:r w:rsidRPr="00E3614F">
        <w:rPr>
          <w:color w:val="262626"/>
          <w:sz w:val="24"/>
          <w:szCs w:val="24"/>
        </w:rPr>
        <w:t>; l’</w:t>
      </w:r>
      <w:r w:rsidRPr="00E3614F">
        <w:rPr>
          <w:i/>
          <w:iCs/>
          <w:color w:val="262626"/>
          <w:sz w:val="24"/>
          <w:szCs w:val="24"/>
        </w:rPr>
        <w:t xml:space="preserve">Allegoria dell’Accademia </w:t>
      </w:r>
      <w:r w:rsidRPr="00E3614F">
        <w:rPr>
          <w:color w:val="262626"/>
          <w:sz w:val="24"/>
          <w:szCs w:val="24"/>
        </w:rPr>
        <w:t>(1762-1763)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di Domenico </w:t>
      </w:r>
      <w:proofErr w:type="spellStart"/>
      <w:r w:rsidRPr="00E3614F">
        <w:rPr>
          <w:color w:val="262626"/>
          <w:sz w:val="24"/>
          <w:szCs w:val="24"/>
        </w:rPr>
        <w:t>Maggiotto</w:t>
      </w:r>
      <w:proofErr w:type="spellEnd"/>
      <w:r w:rsidRPr="00E3614F">
        <w:rPr>
          <w:color w:val="262626"/>
          <w:sz w:val="24"/>
          <w:szCs w:val="24"/>
        </w:rPr>
        <w:t>, pittore nominato tra i primi accademici nel 1756, che nella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compassata compostezza formale bene interpreta i dettami accademici; l’</w:t>
      </w:r>
      <w:r w:rsidRPr="00E3614F">
        <w:rPr>
          <w:i/>
          <w:iCs/>
          <w:color w:val="262626"/>
          <w:sz w:val="24"/>
          <w:szCs w:val="24"/>
        </w:rPr>
        <w:t>Allegoria</w:t>
      </w:r>
      <w:r w:rsidR="00AC411B">
        <w:rPr>
          <w:color w:val="262626"/>
          <w:sz w:val="24"/>
          <w:szCs w:val="24"/>
        </w:rPr>
        <w:t xml:space="preserve"> </w:t>
      </w:r>
      <w:r w:rsidRPr="00E3614F">
        <w:rPr>
          <w:i/>
          <w:iCs/>
          <w:color w:val="262626"/>
          <w:sz w:val="24"/>
          <w:szCs w:val="24"/>
        </w:rPr>
        <w:t xml:space="preserve">della Pittura </w:t>
      </w:r>
      <w:r w:rsidRPr="00E3614F">
        <w:rPr>
          <w:color w:val="262626"/>
          <w:sz w:val="24"/>
          <w:szCs w:val="24"/>
        </w:rPr>
        <w:t xml:space="preserve">del figlio Francesco </w:t>
      </w:r>
      <w:proofErr w:type="spellStart"/>
      <w:r w:rsidRPr="00E3614F">
        <w:rPr>
          <w:color w:val="262626"/>
          <w:sz w:val="24"/>
          <w:szCs w:val="24"/>
        </w:rPr>
        <w:t>Maggiotto</w:t>
      </w:r>
      <w:proofErr w:type="spellEnd"/>
      <w:r w:rsidRPr="00E3614F">
        <w:rPr>
          <w:color w:val="262626"/>
          <w:sz w:val="24"/>
          <w:szCs w:val="24"/>
        </w:rPr>
        <w:t>, della fine del settimo decennio, ormai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aperta verso il gusto neoclassico; e infine l’</w:t>
      </w:r>
      <w:r w:rsidRPr="00E3614F">
        <w:rPr>
          <w:i/>
          <w:iCs/>
          <w:color w:val="262626"/>
          <w:sz w:val="24"/>
          <w:szCs w:val="24"/>
        </w:rPr>
        <w:t>Allegoria d</w:t>
      </w:r>
      <w:r w:rsidR="00AC411B">
        <w:rPr>
          <w:i/>
          <w:iCs/>
          <w:color w:val="262626"/>
          <w:sz w:val="24"/>
          <w:szCs w:val="24"/>
        </w:rPr>
        <w:t>el Disegno, del C</w:t>
      </w:r>
      <w:r w:rsidRPr="00E3614F">
        <w:rPr>
          <w:i/>
          <w:iCs/>
          <w:color w:val="262626"/>
          <w:sz w:val="24"/>
          <w:szCs w:val="24"/>
        </w:rPr>
        <w:t>olore e</w:t>
      </w:r>
      <w:r>
        <w:rPr>
          <w:color w:val="262626"/>
          <w:sz w:val="24"/>
          <w:szCs w:val="24"/>
        </w:rPr>
        <w:t xml:space="preserve"> </w:t>
      </w:r>
      <w:r w:rsidRPr="00E3614F">
        <w:rPr>
          <w:i/>
          <w:iCs/>
          <w:color w:val="262626"/>
          <w:sz w:val="24"/>
          <w:szCs w:val="24"/>
        </w:rPr>
        <w:t xml:space="preserve">dell’Invenzione </w:t>
      </w:r>
      <w:r w:rsidRPr="00E3614F">
        <w:rPr>
          <w:color w:val="262626"/>
          <w:sz w:val="24"/>
          <w:szCs w:val="24"/>
        </w:rPr>
        <w:t>firmata da Pier Antonio Novelli e datata 1776.</w:t>
      </w:r>
    </w:p>
    <w:p w:rsidR="00725D1A" w:rsidRPr="00E3614F" w:rsidRDefault="00725D1A" w:rsidP="006D0738">
      <w:pPr>
        <w:autoSpaceDE w:val="0"/>
        <w:autoSpaceDN w:val="0"/>
        <w:adjustRightInd w:val="0"/>
        <w:spacing w:after="0" w:line="240" w:lineRule="auto"/>
        <w:ind w:left="540" w:right="458"/>
        <w:jc w:val="both"/>
        <w:rPr>
          <w:color w:val="262626"/>
          <w:sz w:val="24"/>
          <w:szCs w:val="24"/>
        </w:rPr>
      </w:pPr>
      <w:r w:rsidRPr="00E3614F">
        <w:rPr>
          <w:color w:val="262626"/>
          <w:sz w:val="24"/>
          <w:szCs w:val="24"/>
        </w:rPr>
        <w:t>Nella parete di fronte sono invece esposti i principali saggi dei pittori prospettici,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legati all’insegnamento</w:t>
      </w:r>
      <w:r w:rsidR="00AC411B">
        <w:rPr>
          <w:color w:val="262626"/>
          <w:sz w:val="24"/>
          <w:szCs w:val="24"/>
        </w:rPr>
        <w:t xml:space="preserve"> di una disciplina, lo studio dell’</w:t>
      </w:r>
      <w:bookmarkStart w:id="0" w:name="_GoBack"/>
      <w:bookmarkEnd w:id="0"/>
      <w:r w:rsidRPr="00E3614F">
        <w:rPr>
          <w:color w:val="262626"/>
          <w:sz w:val="24"/>
          <w:szCs w:val="24"/>
        </w:rPr>
        <w:t>architettura, introdotta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nell’ambito accademico in un momento leggermente successivo rispetto allo studio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della pittura e della scultura; le vedute prospettiche di Antonio Visentini, Antonio</w:t>
      </w:r>
      <w:r>
        <w:rPr>
          <w:color w:val="262626"/>
          <w:sz w:val="24"/>
          <w:szCs w:val="24"/>
        </w:rPr>
        <w:t xml:space="preserve"> </w:t>
      </w:r>
      <w:proofErr w:type="spellStart"/>
      <w:r w:rsidRPr="00E3614F">
        <w:rPr>
          <w:color w:val="262626"/>
          <w:sz w:val="24"/>
          <w:szCs w:val="24"/>
        </w:rPr>
        <w:t>Joli</w:t>
      </w:r>
      <w:proofErr w:type="spellEnd"/>
      <w:r w:rsidRPr="00E3614F">
        <w:rPr>
          <w:color w:val="262626"/>
          <w:sz w:val="24"/>
          <w:szCs w:val="24"/>
        </w:rPr>
        <w:t xml:space="preserve">, Giuseppe Moretti e Pietro </w:t>
      </w:r>
      <w:proofErr w:type="spellStart"/>
      <w:r w:rsidRPr="00E3614F">
        <w:rPr>
          <w:color w:val="262626"/>
          <w:sz w:val="24"/>
          <w:szCs w:val="24"/>
        </w:rPr>
        <w:t>Gaspari</w:t>
      </w:r>
      <w:proofErr w:type="spellEnd"/>
      <w:r w:rsidRPr="00E3614F">
        <w:rPr>
          <w:color w:val="262626"/>
          <w:sz w:val="24"/>
          <w:szCs w:val="24"/>
        </w:rPr>
        <w:t xml:space="preserve"> mostrano l’irrigidirsi della pratica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scenografica entro schemi razionalmente calcolati e puramente decorativi. Al centro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 xml:space="preserve">spicca la </w:t>
      </w:r>
      <w:r w:rsidRPr="00E3614F">
        <w:rPr>
          <w:i/>
          <w:iCs/>
          <w:color w:val="262626"/>
          <w:sz w:val="24"/>
          <w:szCs w:val="24"/>
        </w:rPr>
        <w:t xml:space="preserve">Prospettiva con portico </w:t>
      </w:r>
      <w:r w:rsidRPr="00E3614F">
        <w:rPr>
          <w:color w:val="262626"/>
          <w:sz w:val="24"/>
          <w:szCs w:val="24"/>
        </w:rPr>
        <w:t>di Canaletto, donata dall’artista all’istituzione dopo</w:t>
      </w:r>
      <w:r>
        <w:rPr>
          <w:color w:val="262626"/>
          <w:sz w:val="24"/>
          <w:szCs w:val="24"/>
        </w:rPr>
        <w:t xml:space="preserve"> </w:t>
      </w:r>
      <w:r w:rsidRPr="00E3614F">
        <w:rPr>
          <w:color w:val="262626"/>
          <w:sz w:val="24"/>
          <w:szCs w:val="24"/>
        </w:rPr>
        <w:t>l’elezione ad accademico quale saggio della sua abilità nel disegno architettonico</w:t>
      </w:r>
    </w:p>
    <w:sectPr w:rsidR="00725D1A" w:rsidRPr="00E3614F" w:rsidSect="006D0738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1A" w:rsidRDefault="00725D1A" w:rsidP="00725D1A">
      <w:pPr>
        <w:spacing w:after="0" w:line="240" w:lineRule="auto"/>
      </w:pPr>
      <w:r>
        <w:separator/>
      </w:r>
    </w:p>
  </w:endnote>
  <w:endnote w:type="continuationSeparator" w:id="0">
    <w:p w:rsidR="00725D1A" w:rsidRDefault="00725D1A" w:rsidP="0072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1A" w:rsidRDefault="00725D1A" w:rsidP="00725D1A">
      <w:pPr>
        <w:spacing w:after="0" w:line="240" w:lineRule="auto"/>
      </w:pPr>
      <w:r>
        <w:separator/>
      </w:r>
    </w:p>
  </w:footnote>
  <w:footnote w:type="continuationSeparator" w:id="0">
    <w:p w:rsidR="00725D1A" w:rsidRDefault="00725D1A" w:rsidP="0072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1A" w:rsidRDefault="00417F91" w:rsidP="006D0738">
    <w:pPr>
      <w:pStyle w:val="Intestazione"/>
      <w:ind w:left="-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7.8pt;height:104.4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E3"/>
    <w:rsid w:val="002B4EFA"/>
    <w:rsid w:val="002D2285"/>
    <w:rsid w:val="003320D0"/>
    <w:rsid w:val="003F65B6"/>
    <w:rsid w:val="004075E3"/>
    <w:rsid w:val="00417F91"/>
    <w:rsid w:val="00654C81"/>
    <w:rsid w:val="006D0738"/>
    <w:rsid w:val="00725D1A"/>
    <w:rsid w:val="00AC411B"/>
    <w:rsid w:val="00D06ADC"/>
    <w:rsid w:val="00D46AC7"/>
    <w:rsid w:val="00E156E1"/>
    <w:rsid w:val="00E3614F"/>
    <w:rsid w:val="00EE0DCA"/>
    <w:rsid w:val="00FE1C99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CC505248-9C2C-4906-AEBA-D25DE98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EFA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09DF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6D0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09D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</dc:creator>
  <cp:keywords/>
  <dc:description/>
  <cp:lastModifiedBy>Roberta Barbaro</cp:lastModifiedBy>
  <cp:revision>8</cp:revision>
  <dcterms:created xsi:type="dcterms:W3CDTF">2016-01-27T11:10:00Z</dcterms:created>
  <dcterms:modified xsi:type="dcterms:W3CDTF">2016-01-28T14:02:00Z</dcterms:modified>
</cp:coreProperties>
</file>