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883A3A" w:rsidRDefault="00875CA3" w:rsidP="00793DBC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793DBC">
      <w:pPr>
        <w:pStyle w:val="Indirizzoedatiintesta"/>
        <w:rPr>
          <w:rStyle w:val="EnfasiBold"/>
          <w:rFonts w:ascii="New Rail Alphabet Light" w:hAnsi="New Rail Alphabet Light"/>
        </w:rPr>
      </w:pPr>
    </w:p>
    <w:p w14:paraId="5A4B0AA3" w14:textId="0403D32D" w:rsidR="00C32016" w:rsidRPr="00396A7D" w:rsidRDefault="003D0926" w:rsidP="00793DBC">
      <w:pPr>
        <w:pStyle w:val="Indirizzoedatiintesta"/>
        <w:rPr>
          <w:rStyle w:val="EnfasiBold"/>
          <w:rFonts w:ascii="Arial" w:hAnsi="Arial"/>
        </w:rPr>
      </w:pPr>
      <w:r w:rsidRPr="00950B7C">
        <w:rPr>
          <w:rStyle w:val="EnfasiBold"/>
          <w:rFonts w:ascii="Arial" w:hAnsi="Arial"/>
        </w:rPr>
        <w:t>XX</w:t>
      </w:r>
      <w:r w:rsidR="006B39E5">
        <w:rPr>
          <w:rStyle w:val="EnfasiBold"/>
          <w:rFonts w:ascii="Arial" w:hAnsi="Arial"/>
        </w:rPr>
        <w:t>X</w:t>
      </w:r>
      <w:r w:rsidR="0009573A">
        <w:rPr>
          <w:rStyle w:val="EnfasiBold"/>
          <w:rFonts w:ascii="Arial" w:hAnsi="Arial"/>
        </w:rPr>
        <w:t xml:space="preserve">I edizione, </w:t>
      </w:r>
      <w:r w:rsidR="0009573A" w:rsidRPr="00396A7D">
        <w:rPr>
          <w:rStyle w:val="EnfasiBold"/>
          <w:rFonts w:ascii="Arial" w:hAnsi="Arial"/>
        </w:rPr>
        <w:t>2020</w:t>
      </w:r>
      <w:r w:rsidR="003B2A64" w:rsidRPr="00396A7D">
        <w:rPr>
          <w:rStyle w:val="A0"/>
          <w:rFonts w:cs="Arial"/>
          <w:color w:val="auto"/>
          <w:spacing w:val="-4"/>
          <w:sz w:val="20"/>
          <w:szCs w:val="20"/>
        </w:rPr>
        <w:t>-</w:t>
      </w:r>
      <w:r w:rsidR="0009573A" w:rsidRPr="00396A7D">
        <w:rPr>
          <w:rStyle w:val="EnfasiBold"/>
          <w:rFonts w:ascii="Arial" w:hAnsi="Arial"/>
        </w:rPr>
        <w:t>2021</w:t>
      </w:r>
    </w:p>
    <w:p w14:paraId="20532E17" w14:textId="77777777" w:rsidR="0009573A" w:rsidRPr="0009573A" w:rsidRDefault="0009573A" w:rsidP="0009573A">
      <w:pPr>
        <w:pStyle w:val="Indirizzoedatiintesta"/>
        <w:rPr>
          <w:b/>
          <w:i/>
        </w:rPr>
      </w:pPr>
      <w:r w:rsidRPr="0009573A">
        <w:rPr>
          <w:b/>
          <w:i/>
        </w:rPr>
        <w:t xml:space="preserve">Güllüdere e Kızılçukur: </w:t>
      </w:r>
    </w:p>
    <w:p w14:paraId="76332AFE" w14:textId="41E8F030" w:rsidR="0009573A" w:rsidRPr="0009573A" w:rsidRDefault="0009573A" w:rsidP="0009573A">
      <w:pPr>
        <w:pStyle w:val="Indirizzoedatiintesta"/>
        <w:rPr>
          <w:b/>
          <w:i/>
        </w:rPr>
      </w:pPr>
      <w:r w:rsidRPr="0009573A">
        <w:rPr>
          <w:b/>
          <w:i/>
        </w:rPr>
        <w:t>la Valle delle Rose e la Valle Rossa in Cappadocia</w:t>
      </w:r>
    </w:p>
    <w:p w14:paraId="19CE9D6F" w14:textId="75395038" w:rsidR="00DE3617" w:rsidRDefault="00DE3617" w:rsidP="00793DBC">
      <w:pPr>
        <w:pStyle w:val="Indirizzoedatiintesta"/>
      </w:pPr>
    </w:p>
    <w:p w14:paraId="32C77C44" w14:textId="77777777" w:rsidR="00F427DD" w:rsidRPr="00E8720F" w:rsidRDefault="00F427DD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8720F" w:rsidRDefault="00E8720F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F01B0E" w14:textId="1AC79F52" w:rsidR="00C36A71" w:rsidRPr="00AD3D33" w:rsidRDefault="00940561" w:rsidP="00941656">
                            <w:pP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  <w:t xml:space="preserve">Scheda </w:t>
                            </w:r>
                            <w:r w:rsidR="00A857E7"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  <w:t>sul libro</w:t>
                            </w:r>
                          </w:p>
                          <w:p w14:paraId="0A5A0F5A" w14:textId="6A6E38B4" w:rsidR="00C36A71" w:rsidRPr="00483237" w:rsidRDefault="00C36A71" w:rsidP="00A955FA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0DF01B0E" w14:textId="1AC79F52" w:rsidR="00C36A71" w:rsidRPr="00AD3D33" w:rsidRDefault="00940561" w:rsidP="00941656">
                      <w:pPr>
                        <w:rPr>
                          <w:rStyle w:val="NewRailCartaIntestata"/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NewRailCartaIntestata"/>
                          <w:rFonts w:ascii="Arial" w:hAnsi="Arial" w:cs="Arial"/>
                          <w:b/>
                        </w:rPr>
                        <w:t xml:space="preserve">Scheda </w:t>
                      </w:r>
                      <w:r w:rsidR="00A857E7">
                        <w:rPr>
                          <w:rStyle w:val="NewRailCartaIntestata"/>
                          <w:rFonts w:ascii="Arial" w:hAnsi="Arial" w:cs="Arial"/>
                          <w:b/>
                        </w:rPr>
                        <w:t>sul libro</w:t>
                      </w:r>
                    </w:p>
                    <w:p w14:paraId="0A5A0F5A" w14:textId="6A6E38B4" w:rsidR="00C36A71" w:rsidRPr="00483237" w:rsidRDefault="00C36A71" w:rsidP="00A955FA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CC4233" w14:textId="36C88412" w:rsidR="00A857E7" w:rsidRPr="00C82449" w:rsidRDefault="00D4298F" w:rsidP="00A857E7">
      <w:pPr>
        <w:pStyle w:val="Pa7"/>
        <w:spacing w:line="240" w:lineRule="exact"/>
        <w:jc w:val="both"/>
        <w:rPr>
          <w:rStyle w:val="A0"/>
          <w:rFonts w:ascii="Arial" w:hAnsi="Arial" w:cs="Arial"/>
          <w:spacing w:val="-4"/>
          <w:sz w:val="20"/>
          <w:szCs w:val="20"/>
        </w:rPr>
      </w:pPr>
      <w:r w:rsidRPr="00396A7D">
        <w:rPr>
          <w:rStyle w:val="A0"/>
          <w:rFonts w:ascii="Arial" w:hAnsi="Arial" w:cs="Arial"/>
          <w:color w:val="auto"/>
          <w:spacing w:val="-4"/>
          <w:sz w:val="20"/>
          <w:szCs w:val="20"/>
        </w:rPr>
        <w:t xml:space="preserve">Nell’ambito della mostra </w:t>
      </w:r>
      <w:r w:rsidR="00396A7D" w:rsidRPr="00396A7D">
        <w:rPr>
          <w:rStyle w:val="A0"/>
          <w:rFonts w:ascii="Arial" w:hAnsi="Arial" w:cs="Arial"/>
          <w:i/>
          <w:iCs/>
          <w:color w:val="auto"/>
          <w:sz w:val="20"/>
          <w:szCs w:val="20"/>
        </w:rPr>
        <w:t>Cappadocia. Il paesaggio nel grembo della roccia</w:t>
      </w:r>
      <w:r w:rsidR="00396A7D" w:rsidRPr="00396A7D">
        <w:rPr>
          <w:rStyle w:val="A0"/>
          <w:rFonts w:ascii="Arial" w:hAnsi="Arial" w:cs="Arial"/>
          <w:color w:val="auto"/>
          <w:sz w:val="20"/>
          <w:szCs w:val="20"/>
        </w:rPr>
        <w:t>, aperta a Ca’ Scarpa, a Treviso, fino a domenica 10 gennaio 2021,</w:t>
      </w:r>
      <w:r w:rsidRPr="00396A7D">
        <w:rPr>
          <w:rStyle w:val="A0"/>
          <w:rFonts w:ascii="Arial" w:hAnsi="Arial" w:cs="Arial"/>
          <w:color w:val="auto"/>
          <w:spacing w:val="-4"/>
          <w:sz w:val="20"/>
          <w:szCs w:val="20"/>
        </w:rPr>
        <w:t xml:space="preserve"> è disponibile ed esce in libreria </w:t>
      </w:r>
      <w:r w:rsidR="00A857E7" w:rsidRPr="00C82449">
        <w:rPr>
          <w:rStyle w:val="A0"/>
          <w:rFonts w:ascii="Arial" w:hAnsi="Arial" w:cs="Arial"/>
          <w:b/>
          <w:bCs/>
          <w:spacing w:val="-4"/>
          <w:sz w:val="20"/>
          <w:szCs w:val="20"/>
        </w:rPr>
        <w:t xml:space="preserve">il nuovo volume collettivo </w:t>
      </w:r>
      <w:r w:rsidR="00A857E7" w:rsidRPr="00C82449">
        <w:rPr>
          <w:rStyle w:val="A0"/>
          <w:rFonts w:ascii="Arial" w:hAnsi="Arial" w:cs="Arial"/>
          <w:spacing w:val="-4"/>
          <w:sz w:val="20"/>
          <w:szCs w:val="20"/>
        </w:rPr>
        <w:t xml:space="preserve">della collana editoriale “Memorie”, serie “dossier del Premio Internazionale Carlo Scarpa per il Giardino”: </w:t>
      </w:r>
      <w:r w:rsidR="00A857E7" w:rsidRPr="00C82449">
        <w:rPr>
          <w:rStyle w:val="A0"/>
          <w:rFonts w:ascii="Arial" w:hAnsi="Arial" w:cs="Arial"/>
          <w:b/>
          <w:bCs/>
          <w:spacing w:val="-4"/>
          <w:sz w:val="20"/>
          <w:szCs w:val="20"/>
        </w:rPr>
        <w:t>Güllüdere e Kızılçukur: la Valle</w:t>
      </w:r>
      <w:r w:rsidR="00264D39" w:rsidRPr="00C82449">
        <w:rPr>
          <w:rStyle w:val="A0"/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 w:rsidR="00A857E7" w:rsidRPr="00C82449">
        <w:rPr>
          <w:rStyle w:val="A0"/>
          <w:rFonts w:ascii="Arial" w:hAnsi="Arial" w:cs="Arial"/>
          <w:b/>
          <w:bCs/>
          <w:spacing w:val="-4"/>
          <w:sz w:val="20"/>
          <w:szCs w:val="20"/>
        </w:rPr>
        <w:t>delle Rose e la Valle Rossa in Cappadocia</w:t>
      </w:r>
      <w:r w:rsidR="00A857E7" w:rsidRPr="00C82449">
        <w:rPr>
          <w:rStyle w:val="A0"/>
          <w:rFonts w:ascii="Arial" w:hAnsi="Arial" w:cs="Arial"/>
          <w:spacing w:val="-4"/>
          <w:sz w:val="20"/>
          <w:szCs w:val="20"/>
        </w:rPr>
        <w:t xml:space="preserve">, a cura di Patrizia Boschiero e Luigi Latini, Fondazione Benetton Studi </w:t>
      </w:r>
      <w:r w:rsidR="00A857E7" w:rsidRPr="00396A7D">
        <w:rPr>
          <w:rStyle w:val="A0"/>
          <w:rFonts w:ascii="Arial" w:hAnsi="Arial" w:cs="Arial"/>
          <w:color w:val="auto"/>
          <w:spacing w:val="-4"/>
          <w:sz w:val="20"/>
          <w:szCs w:val="20"/>
        </w:rPr>
        <w:t>Ricerche</w:t>
      </w:r>
      <w:r w:rsidRPr="00396A7D">
        <w:rPr>
          <w:rStyle w:val="A0"/>
          <w:rFonts w:ascii="Arial" w:hAnsi="Arial" w:cs="Arial"/>
          <w:color w:val="auto"/>
          <w:spacing w:val="-4"/>
          <w:sz w:val="20"/>
          <w:szCs w:val="20"/>
        </w:rPr>
        <w:t>-</w:t>
      </w:r>
      <w:r w:rsidR="00A857E7" w:rsidRPr="00396A7D">
        <w:rPr>
          <w:rStyle w:val="A0"/>
          <w:rFonts w:ascii="Arial" w:hAnsi="Arial" w:cs="Arial"/>
          <w:color w:val="auto"/>
          <w:spacing w:val="-4"/>
          <w:sz w:val="20"/>
          <w:szCs w:val="20"/>
        </w:rPr>
        <w:t>Antiga, Treviso 2020, 26</w:t>
      </w:r>
      <w:r w:rsidR="00264D39" w:rsidRPr="00396A7D">
        <w:rPr>
          <w:rStyle w:val="A0"/>
          <w:rFonts w:ascii="Arial" w:hAnsi="Arial" w:cs="Arial"/>
          <w:color w:val="auto"/>
          <w:spacing w:val="-4"/>
          <w:sz w:val="20"/>
          <w:szCs w:val="20"/>
        </w:rPr>
        <w:t>4</w:t>
      </w:r>
      <w:r w:rsidR="00A857E7" w:rsidRPr="00396A7D">
        <w:rPr>
          <w:rStyle w:val="A0"/>
          <w:rFonts w:ascii="Arial" w:hAnsi="Arial" w:cs="Arial"/>
          <w:color w:val="auto"/>
          <w:spacing w:val="-4"/>
          <w:sz w:val="20"/>
          <w:szCs w:val="20"/>
        </w:rPr>
        <w:t xml:space="preserve"> pagine, 276 illustrazioni, prezzo di copertina 20 euro, ISBN 978-</w:t>
      </w:r>
      <w:r w:rsidR="00A857E7" w:rsidRPr="00C82449">
        <w:rPr>
          <w:rStyle w:val="A0"/>
          <w:rFonts w:ascii="Arial" w:hAnsi="Arial" w:cs="Arial"/>
          <w:spacing w:val="-4"/>
          <w:sz w:val="20"/>
          <w:szCs w:val="20"/>
        </w:rPr>
        <w:t>88-8435-199-9 (anche in edizione inglese, ISBN 978-88-8435-200-2).</w:t>
      </w:r>
    </w:p>
    <w:p w14:paraId="6958D22F" w14:textId="77777777" w:rsidR="00A857E7" w:rsidRDefault="00A857E7" w:rsidP="00A857E7">
      <w:pPr>
        <w:pStyle w:val="Pa7"/>
        <w:spacing w:line="240" w:lineRule="exact"/>
        <w:jc w:val="both"/>
        <w:rPr>
          <w:rStyle w:val="A0"/>
          <w:rFonts w:ascii="Arial" w:hAnsi="Arial" w:cs="Arial"/>
          <w:sz w:val="20"/>
          <w:szCs w:val="20"/>
        </w:rPr>
      </w:pPr>
    </w:p>
    <w:p w14:paraId="34543DA5" w14:textId="000A3D6A" w:rsidR="00A857E7" w:rsidRPr="00C82449" w:rsidRDefault="00A857E7" w:rsidP="00A857E7">
      <w:pPr>
        <w:pStyle w:val="Pa7"/>
        <w:spacing w:line="240" w:lineRule="exact"/>
        <w:jc w:val="both"/>
        <w:rPr>
          <w:rFonts w:ascii="Arial" w:hAnsi="Arial" w:cs="Arial"/>
          <w:color w:val="221E1F"/>
          <w:sz w:val="20"/>
          <w:szCs w:val="20"/>
        </w:rPr>
      </w:pPr>
      <w:r w:rsidRPr="00C82449">
        <w:rPr>
          <w:rStyle w:val="A0"/>
          <w:rFonts w:ascii="Arial" w:hAnsi="Arial" w:cs="Arial"/>
          <w:sz w:val="20"/>
          <w:szCs w:val="20"/>
        </w:rPr>
        <w:t xml:space="preserve">In Cappadocia due </w:t>
      </w:r>
      <w:r w:rsidRPr="00396A7D">
        <w:rPr>
          <w:rStyle w:val="A0"/>
          <w:rFonts w:ascii="Arial" w:hAnsi="Arial" w:cs="Arial"/>
          <w:color w:val="auto"/>
          <w:sz w:val="20"/>
          <w:szCs w:val="20"/>
        </w:rPr>
        <w:t xml:space="preserve">valli contigue scavate nella roccia vulcanica, </w:t>
      </w:r>
      <w:r w:rsidRPr="00396A7D">
        <w:rPr>
          <w:rStyle w:val="A0"/>
          <w:rFonts w:ascii="Arial" w:hAnsi="Arial" w:cs="Arial"/>
          <w:i/>
          <w:iCs/>
          <w:color w:val="auto"/>
          <w:sz w:val="20"/>
          <w:szCs w:val="20"/>
        </w:rPr>
        <w:t xml:space="preserve">Güllüdere </w:t>
      </w:r>
      <w:r w:rsidRPr="00396A7D">
        <w:rPr>
          <w:rStyle w:val="A0"/>
          <w:rFonts w:ascii="Arial" w:hAnsi="Arial" w:cs="Arial"/>
          <w:iCs/>
          <w:color w:val="auto"/>
          <w:sz w:val="20"/>
          <w:szCs w:val="20"/>
        </w:rPr>
        <w:t>e</w:t>
      </w:r>
      <w:r w:rsidRPr="00396A7D">
        <w:rPr>
          <w:rStyle w:val="A0"/>
          <w:rFonts w:ascii="Arial" w:hAnsi="Arial" w:cs="Arial"/>
          <w:i/>
          <w:iCs/>
          <w:color w:val="auto"/>
          <w:sz w:val="20"/>
          <w:szCs w:val="20"/>
        </w:rPr>
        <w:t xml:space="preserve"> Kızılçukur</w:t>
      </w:r>
      <w:r w:rsidRPr="00396A7D">
        <w:rPr>
          <w:rStyle w:val="A0"/>
          <w:rFonts w:ascii="Arial" w:hAnsi="Arial" w:cs="Arial"/>
          <w:color w:val="auto"/>
          <w:sz w:val="20"/>
          <w:szCs w:val="20"/>
        </w:rPr>
        <w:t>, sono il centro del Premio Internazionale Carlo Scarpa per il Giardino 2020</w:t>
      </w:r>
      <w:r w:rsidR="00D4298F" w:rsidRPr="00396A7D">
        <w:rPr>
          <w:rStyle w:val="A0"/>
          <w:rFonts w:ascii="Arial" w:hAnsi="Arial" w:cs="Arial"/>
          <w:color w:val="auto"/>
          <w:sz w:val="20"/>
          <w:szCs w:val="20"/>
        </w:rPr>
        <w:t>-</w:t>
      </w:r>
      <w:r w:rsidRPr="00396A7D">
        <w:rPr>
          <w:rStyle w:val="A0"/>
          <w:rFonts w:ascii="Arial" w:hAnsi="Arial" w:cs="Arial"/>
          <w:color w:val="auto"/>
          <w:sz w:val="20"/>
          <w:szCs w:val="20"/>
        </w:rPr>
        <w:t>2021</w:t>
      </w:r>
      <w:r w:rsidRPr="00C82449">
        <w:rPr>
          <w:rStyle w:val="A0"/>
          <w:rFonts w:ascii="Arial" w:hAnsi="Arial" w:cs="Arial"/>
          <w:sz w:val="20"/>
          <w:szCs w:val="20"/>
        </w:rPr>
        <w:t xml:space="preserve">. </w:t>
      </w:r>
    </w:p>
    <w:p w14:paraId="013E3776" w14:textId="5C868B18" w:rsidR="00A857E7" w:rsidRPr="00C82449" w:rsidRDefault="00A857E7" w:rsidP="00A857E7">
      <w:pPr>
        <w:pStyle w:val="Pa7"/>
        <w:spacing w:line="240" w:lineRule="exact"/>
        <w:jc w:val="both"/>
        <w:rPr>
          <w:rFonts w:ascii="Arial" w:hAnsi="Arial" w:cs="Arial"/>
          <w:color w:val="221E1F"/>
          <w:sz w:val="20"/>
          <w:szCs w:val="20"/>
        </w:rPr>
      </w:pPr>
      <w:r w:rsidRPr="00C82449">
        <w:rPr>
          <w:rStyle w:val="A0"/>
          <w:rFonts w:ascii="Arial" w:hAnsi="Arial" w:cs="Arial"/>
          <w:sz w:val="20"/>
          <w:szCs w:val="20"/>
        </w:rPr>
        <w:t xml:space="preserve">Questa regione si estende con i suoi altipiani nel cuore della penisola anatolica, da sempre ponte tra culture diverse. Il suolo è arido, eroso dall’acqua e dal vento, il clima difficile: uno scenario naturale che ha vissuto l’arrivo dei primi cristiani e, poi, il diffondersi della cultura </w:t>
      </w:r>
      <w:r w:rsidRPr="00290B2B">
        <w:rPr>
          <w:rStyle w:val="A0"/>
          <w:rFonts w:ascii="Arial" w:hAnsi="Arial" w:cs="Arial"/>
          <w:spacing w:val="-4"/>
          <w:sz w:val="20"/>
          <w:szCs w:val="20"/>
        </w:rPr>
        <w:t>bizantina, con insediamenti eremitici e monastici, chiese e santuari. A questa storia corri</w:t>
      </w:r>
      <w:r w:rsidRPr="00290B2B">
        <w:rPr>
          <w:rStyle w:val="A0"/>
          <w:rFonts w:ascii="Arial" w:hAnsi="Arial" w:cs="Arial"/>
          <w:spacing w:val="-2"/>
          <w:sz w:val="20"/>
          <w:szCs w:val="20"/>
        </w:rPr>
        <w:t>spondono</w:t>
      </w:r>
      <w:r w:rsidRPr="00C82449">
        <w:rPr>
          <w:rStyle w:val="A0"/>
          <w:rFonts w:ascii="Arial" w:hAnsi="Arial" w:cs="Arial"/>
          <w:sz w:val="20"/>
          <w:szCs w:val="20"/>
        </w:rPr>
        <w:t xml:space="preserve"> spazi sorprendenti, edifici ricchi di dipinti, stalle, abitazioni rurali, cisterne, apiari e piccionaie, che continuano a comporre le tessere di un paesaggio coltivato straordinario. </w:t>
      </w:r>
    </w:p>
    <w:p w14:paraId="6B4BB1CF" w14:textId="23E2B8C4" w:rsidR="00A857E7" w:rsidRPr="00290B2B" w:rsidRDefault="00A857E7" w:rsidP="00A857E7">
      <w:pPr>
        <w:pStyle w:val="Pa7"/>
        <w:spacing w:line="240" w:lineRule="exact"/>
        <w:jc w:val="both"/>
        <w:rPr>
          <w:rFonts w:ascii="Arial" w:hAnsi="Arial" w:cs="Arial"/>
          <w:color w:val="221E1F"/>
          <w:spacing w:val="-2"/>
          <w:sz w:val="20"/>
          <w:szCs w:val="20"/>
        </w:rPr>
      </w:pPr>
      <w:r w:rsidRPr="00290B2B">
        <w:rPr>
          <w:rStyle w:val="A0"/>
          <w:rFonts w:ascii="Arial" w:hAnsi="Arial" w:cs="Arial"/>
          <w:spacing w:val="-2"/>
          <w:sz w:val="20"/>
          <w:szCs w:val="20"/>
        </w:rPr>
        <w:t>Nonostante i segni dell’abbandono dei paesaggi tradizionali e i nuovi usi del turismo di massa, queste valli rappresentano oggi la misura e il significato di un luogo che è memoria di un’antica civiltà dell’abitare, in equilibrio tra natura e cultura, e il cui valore travalica ogni confine.</w:t>
      </w:r>
    </w:p>
    <w:p w14:paraId="62024EF8" w14:textId="0D9C6F5E" w:rsidR="00A857E7" w:rsidRPr="00A857E7" w:rsidRDefault="00A857E7" w:rsidP="00A857E7">
      <w:pPr>
        <w:jc w:val="both"/>
        <w:rPr>
          <w:rStyle w:val="A0"/>
          <w:rFonts w:cs="Arial"/>
          <w:sz w:val="20"/>
          <w:szCs w:val="20"/>
        </w:rPr>
      </w:pPr>
    </w:p>
    <w:p w14:paraId="6ED8F936" w14:textId="77777777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000000"/>
        </w:rPr>
      </w:pPr>
    </w:p>
    <w:p w14:paraId="14DD82A2" w14:textId="6CBAA0CB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b/>
          <w:bCs/>
          <w:color w:val="221E1F"/>
        </w:rPr>
      </w:pPr>
      <w:r w:rsidRPr="00A857E7">
        <w:rPr>
          <w:rFonts w:cs="Arial"/>
          <w:b/>
          <w:bCs/>
          <w:color w:val="221E1F"/>
        </w:rPr>
        <w:t>Indice del volume</w:t>
      </w:r>
    </w:p>
    <w:p w14:paraId="10E937A1" w14:textId="5286EC1A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>Il Premio Internazionale Carlo Scarpa per il Giardino</w:t>
      </w:r>
    </w:p>
    <w:p w14:paraId="7DF6AA29" w14:textId="469DE517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i/>
          <w:iCs/>
          <w:color w:val="221E1F"/>
        </w:rPr>
        <w:t>Motivazione del Premio Carlo Scarpa</w:t>
      </w:r>
      <w:r w:rsidRPr="00A857E7">
        <w:rPr>
          <w:rFonts w:cs="Arial"/>
          <w:color w:val="221E1F"/>
        </w:rPr>
        <w:t>, in italiano, turco e inglese, a cura del Comitato scientifico della Fondazione Benetton Studi Ricerche;</w:t>
      </w:r>
    </w:p>
    <w:p w14:paraId="7AEAD782" w14:textId="5938B2E5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i/>
          <w:iCs/>
          <w:color w:val="221E1F"/>
        </w:rPr>
        <w:t>Mappe della Valle delle Rose e della Valle Rossa, Cappadocia</w:t>
      </w:r>
      <w:r w:rsidRPr="00A857E7">
        <w:rPr>
          <w:rFonts w:cs="Arial"/>
          <w:color w:val="221E1F"/>
        </w:rPr>
        <w:t>, a cura di Thilo Folkerts.</w:t>
      </w:r>
    </w:p>
    <w:p w14:paraId="6F33E66A" w14:textId="77777777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</w:p>
    <w:p w14:paraId="1E5A96BB" w14:textId="77777777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b/>
          <w:bCs/>
          <w:color w:val="221E1F"/>
        </w:rPr>
        <w:t>Il luogo e la sua storia</w:t>
      </w:r>
    </w:p>
    <w:p w14:paraId="4A98C8D9" w14:textId="77777777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Thilo Folkerts, </w:t>
      </w:r>
      <w:r w:rsidRPr="00A857E7">
        <w:rPr>
          <w:rFonts w:cs="Arial"/>
          <w:i/>
          <w:iCs/>
          <w:color w:val="221E1F"/>
        </w:rPr>
        <w:t>Cappadocia: il senso immediato della continuità. Visitando la Valle delle Rose, la Valle Rossa e i loro dintorni</w:t>
      </w:r>
      <w:r w:rsidRPr="00A857E7">
        <w:rPr>
          <w:rFonts w:cs="Arial"/>
          <w:color w:val="221E1F"/>
        </w:rPr>
        <w:t xml:space="preserve">; </w:t>
      </w:r>
    </w:p>
    <w:p w14:paraId="4CF9B270" w14:textId="0159F232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Maria Andaloro, </w:t>
      </w:r>
      <w:r w:rsidRPr="00A857E7">
        <w:rPr>
          <w:rFonts w:cs="Arial"/>
          <w:i/>
          <w:iCs/>
          <w:color w:val="221E1F"/>
        </w:rPr>
        <w:t>In Cappadocia. Nel grembo della roccia fra valli e chiese dipinte</w:t>
      </w:r>
      <w:r w:rsidRPr="00A857E7">
        <w:rPr>
          <w:rFonts w:cs="Arial"/>
          <w:color w:val="221E1F"/>
        </w:rPr>
        <w:t xml:space="preserve">; </w:t>
      </w:r>
    </w:p>
    <w:p w14:paraId="721420F4" w14:textId="77777777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Ekrem Akurgal, </w:t>
      </w:r>
      <w:r w:rsidRPr="00A857E7">
        <w:rPr>
          <w:rFonts w:cs="Arial"/>
          <w:i/>
          <w:iCs/>
          <w:color w:val="221E1F"/>
        </w:rPr>
        <w:t>Le grandi civiltà dell’Anatolia</w:t>
      </w:r>
      <w:r w:rsidRPr="00A857E7">
        <w:rPr>
          <w:rFonts w:cs="Arial"/>
          <w:color w:val="221E1F"/>
        </w:rPr>
        <w:t xml:space="preserve">; </w:t>
      </w:r>
    </w:p>
    <w:p w14:paraId="58D0FE27" w14:textId="77777777" w:rsidR="00D4298F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i/>
          <w:iCs/>
          <w:color w:val="221E1F"/>
        </w:rPr>
      </w:pPr>
      <w:r w:rsidRPr="00A857E7">
        <w:rPr>
          <w:rFonts w:cs="Arial"/>
          <w:color w:val="221E1F"/>
        </w:rPr>
        <w:t xml:space="preserve">Chiara Bordino, </w:t>
      </w:r>
      <w:r w:rsidRPr="00A857E7">
        <w:rPr>
          <w:rFonts w:cs="Arial"/>
          <w:i/>
          <w:iCs/>
          <w:color w:val="221E1F"/>
        </w:rPr>
        <w:t xml:space="preserve">Lo sviluppo del cristianesimo nella regione di Nevșehir (secoli IV-X) </w:t>
      </w:r>
    </w:p>
    <w:p w14:paraId="5399C673" w14:textId="130C4573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i/>
          <w:iCs/>
          <w:color w:val="221E1F"/>
        </w:rPr>
      </w:pPr>
      <w:r w:rsidRPr="00A857E7">
        <w:rPr>
          <w:rFonts w:cs="Arial"/>
          <w:i/>
          <w:iCs/>
          <w:color w:val="221E1F"/>
        </w:rPr>
        <w:t>e il suo ruolo nella promozione delle arti visive.</w:t>
      </w:r>
    </w:p>
    <w:p w14:paraId="1A0F87AF" w14:textId="77777777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</w:p>
    <w:p w14:paraId="4D5F0E2E" w14:textId="77777777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b/>
          <w:bCs/>
          <w:color w:val="221E1F"/>
        </w:rPr>
        <w:t>La natura del paesaggio</w:t>
      </w:r>
    </w:p>
    <w:p w14:paraId="109FC8EE" w14:textId="77777777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Giuseppe Barbera, </w:t>
      </w:r>
      <w:r w:rsidRPr="00A857E7">
        <w:rPr>
          <w:rFonts w:cs="Arial"/>
          <w:i/>
          <w:iCs/>
          <w:color w:val="221E1F"/>
        </w:rPr>
        <w:t>Pratiche agricole e paesaggio rurale delle valli</w:t>
      </w:r>
      <w:r w:rsidRPr="00A857E7">
        <w:rPr>
          <w:rFonts w:cs="Arial"/>
          <w:color w:val="221E1F"/>
        </w:rPr>
        <w:t xml:space="preserve">; </w:t>
      </w:r>
    </w:p>
    <w:p w14:paraId="686FBA0B" w14:textId="77777777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Mutluhan Akin e Ahmet Orhan, </w:t>
      </w:r>
      <w:r w:rsidRPr="00A857E7">
        <w:rPr>
          <w:rFonts w:cs="Arial"/>
          <w:i/>
          <w:iCs/>
          <w:color w:val="221E1F"/>
        </w:rPr>
        <w:t>La struttura geologica e la natura vulcanica della Cappadocia: una breve analisi</w:t>
      </w:r>
      <w:r w:rsidRPr="00A857E7">
        <w:rPr>
          <w:rFonts w:cs="Arial"/>
          <w:color w:val="221E1F"/>
        </w:rPr>
        <w:t xml:space="preserve">; </w:t>
      </w:r>
    </w:p>
    <w:p w14:paraId="28330361" w14:textId="77777777" w:rsidR="00203A0B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Natalia Rovella, Stefano Marabini, Mauro Francesco La Russa, Gino Mirocle Crisci, </w:t>
      </w:r>
    </w:p>
    <w:p w14:paraId="4B6A37D0" w14:textId="5FCF2107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i/>
          <w:iCs/>
          <w:color w:val="221E1F"/>
        </w:rPr>
        <w:t>Letture geologiche del territorio rupestre della Cappadocia: il caso di Şahinefendi</w:t>
      </w:r>
      <w:r w:rsidRPr="00A857E7">
        <w:rPr>
          <w:rFonts w:cs="Arial"/>
          <w:color w:val="221E1F"/>
        </w:rPr>
        <w:t xml:space="preserve">; </w:t>
      </w:r>
    </w:p>
    <w:p w14:paraId="4663054C" w14:textId="77777777" w:rsidR="00203A0B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i/>
          <w:iCs/>
          <w:color w:val="221E1F"/>
        </w:rPr>
      </w:pPr>
      <w:r w:rsidRPr="00A857E7">
        <w:rPr>
          <w:rFonts w:cs="Arial"/>
          <w:color w:val="221E1F"/>
        </w:rPr>
        <w:t xml:space="preserve">Andrea Bixio, Roberto Bixio, Andrea De Pascale, </w:t>
      </w:r>
      <w:r w:rsidRPr="00A857E7">
        <w:rPr>
          <w:rFonts w:cs="Arial"/>
          <w:i/>
          <w:iCs/>
          <w:color w:val="221E1F"/>
        </w:rPr>
        <w:t xml:space="preserve">Sistemi idraulici e cavità antropogeniche </w:t>
      </w:r>
    </w:p>
    <w:p w14:paraId="52AFE3D6" w14:textId="074D953D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i/>
          <w:iCs/>
          <w:color w:val="221E1F"/>
        </w:rPr>
        <w:t>nel sottosuolo della Cappadocia</w:t>
      </w:r>
      <w:r w:rsidRPr="00A857E7">
        <w:rPr>
          <w:rFonts w:cs="Arial"/>
          <w:color w:val="221E1F"/>
        </w:rPr>
        <w:t>.</w:t>
      </w:r>
    </w:p>
    <w:p w14:paraId="2F732316" w14:textId="77777777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</w:p>
    <w:p w14:paraId="40C45C83" w14:textId="77777777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b/>
          <w:bCs/>
          <w:color w:val="221E1F"/>
        </w:rPr>
        <w:t>Lo studio e la cura del luogo</w:t>
      </w:r>
    </w:p>
    <w:p w14:paraId="3575FD44" w14:textId="77777777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Maria Andaloro, </w:t>
      </w:r>
      <w:r w:rsidRPr="00A857E7">
        <w:rPr>
          <w:rFonts w:cs="Arial"/>
          <w:i/>
          <w:iCs/>
          <w:color w:val="221E1F"/>
        </w:rPr>
        <w:t>La Missione dell’Università della Tuscia in Cappadocia</w:t>
      </w:r>
      <w:r w:rsidRPr="00A857E7">
        <w:rPr>
          <w:rFonts w:cs="Arial"/>
          <w:color w:val="221E1F"/>
        </w:rPr>
        <w:t xml:space="preserve">; </w:t>
      </w:r>
    </w:p>
    <w:p w14:paraId="481DEA47" w14:textId="17CD2E4D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lastRenderedPageBreak/>
        <w:t xml:space="preserve">Paola Pogliani, </w:t>
      </w:r>
      <w:r w:rsidRPr="00A857E7">
        <w:rPr>
          <w:rFonts w:cs="Arial"/>
          <w:i/>
          <w:iCs/>
          <w:color w:val="221E1F"/>
        </w:rPr>
        <w:t>Dipingere in Cappadocia</w:t>
      </w:r>
      <w:r w:rsidRPr="00A857E7">
        <w:rPr>
          <w:rFonts w:cs="Arial"/>
          <w:color w:val="221E1F"/>
        </w:rPr>
        <w:t>;</w:t>
      </w:r>
    </w:p>
    <w:p w14:paraId="1A267F44" w14:textId="77777777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Maria Raffaella Menna, </w:t>
      </w:r>
      <w:r w:rsidRPr="00A857E7">
        <w:rPr>
          <w:rFonts w:cs="Arial"/>
          <w:i/>
          <w:iCs/>
          <w:color w:val="221E1F"/>
        </w:rPr>
        <w:t>Il giardino e il giardiniere nella Chiesa dei Santi Gioacchino e Anna</w:t>
      </w:r>
      <w:r w:rsidRPr="00A857E7">
        <w:rPr>
          <w:rFonts w:cs="Arial"/>
          <w:color w:val="221E1F"/>
        </w:rPr>
        <w:t xml:space="preserve">; Michele Benucci e Giuseppe Romagnoli, </w:t>
      </w:r>
      <w:r w:rsidRPr="00A857E7">
        <w:rPr>
          <w:rFonts w:cs="Arial"/>
          <w:i/>
          <w:iCs/>
          <w:color w:val="221E1F"/>
        </w:rPr>
        <w:t>L’insediamento rupestre di Şahinefendi</w:t>
      </w:r>
      <w:r w:rsidRPr="00A857E7">
        <w:rPr>
          <w:rFonts w:cs="Arial"/>
          <w:color w:val="221E1F"/>
        </w:rPr>
        <w:t xml:space="preserve">; </w:t>
      </w:r>
    </w:p>
    <w:p w14:paraId="6555A8A6" w14:textId="77777777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Carmela Crescenzi, </w:t>
      </w:r>
      <w:r w:rsidRPr="00A857E7">
        <w:rPr>
          <w:rFonts w:cs="Arial"/>
          <w:i/>
          <w:iCs/>
          <w:color w:val="221E1F"/>
        </w:rPr>
        <w:t>Il rilievo del paesaggio tra le valli di Göreme e Kılıçlar</w:t>
      </w:r>
      <w:r w:rsidRPr="00203A0B">
        <w:rPr>
          <w:rFonts w:cs="Arial"/>
          <w:color w:val="221E1F"/>
        </w:rPr>
        <w:t>;</w:t>
      </w:r>
      <w:r w:rsidRPr="00A857E7">
        <w:rPr>
          <w:rFonts w:cs="Arial"/>
          <w:color w:val="221E1F"/>
        </w:rPr>
        <w:t xml:space="preserve"> </w:t>
      </w:r>
    </w:p>
    <w:p w14:paraId="008E9875" w14:textId="0150AE23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Giorgio Verdiani, </w:t>
      </w:r>
      <w:r w:rsidRPr="00A857E7">
        <w:rPr>
          <w:rFonts w:cs="Arial"/>
          <w:i/>
          <w:iCs/>
          <w:color w:val="221E1F"/>
        </w:rPr>
        <w:t>La Chiesa di Meryem Ana a Göreme, opera fragile tra il disgregarsi della roccia e l’imponenza dell’arte</w:t>
      </w:r>
      <w:r w:rsidRPr="00A857E7">
        <w:rPr>
          <w:rFonts w:cs="Arial"/>
          <w:color w:val="221E1F"/>
        </w:rPr>
        <w:t>;</w:t>
      </w:r>
    </w:p>
    <w:p w14:paraId="797B7985" w14:textId="07070464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>Bibliografia di sezione.</w:t>
      </w:r>
    </w:p>
    <w:p w14:paraId="33401F02" w14:textId="77777777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</w:p>
    <w:p w14:paraId="10F1EC4A" w14:textId="77777777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b/>
          <w:bCs/>
          <w:color w:val="221E1F"/>
        </w:rPr>
        <w:t>Letture del luogo</w:t>
      </w:r>
    </w:p>
    <w:p w14:paraId="2C029366" w14:textId="77777777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Murat Ertuğrul Gülyaz, </w:t>
      </w:r>
      <w:r w:rsidRPr="00A857E7">
        <w:rPr>
          <w:rFonts w:cs="Arial"/>
          <w:i/>
          <w:iCs/>
          <w:color w:val="221E1F"/>
        </w:rPr>
        <w:t>Le rovine di Paşabaği e Zelve</w:t>
      </w:r>
      <w:r w:rsidRPr="00A857E7">
        <w:rPr>
          <w:rFonts w:cs="Arial"/>
          <w:color w:val="221E1F"/>
        </w:rPr>
        <w:t>;</w:t>
      </w:r>
    </w:p>
    <w:p w14:paraId="3410CF48" w14:textId="77777777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Aslı Özbay, </w:t>
      </w:r>
      <w:r w:rsidRPr="00A857E7">
        <w:rPr>
          <w:rFonts w:cs="Arial"/>
          <w:i/>
          <w:iCs/>
          <w:color w:val="221E1F"/>
        </w:rPr>
        <w:t>Architettura civile in Cappadocia: leggere la storia dalle grotte</w:t>
      </w:r>
      <w:r w:rsidRPr="00A857E7">
        <w:rPr>
          <w:rFonts w:cs="Arial"/>
          <w:color w:val="221E1F"/>
        </w:rPr>
        <w:t xml:space="preserve">; </w:t>
      </w:r>
    </w:p>
    <w:p w14:paraId="02A67599" w14:textId="77777777" w:rsidR="00203A0B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i/>
          <w:iCs/>
          <w:color w:val="221E1F"/>
        </w:rPr>
      </w:pPr>
      <w:r w:rsidRPr="00A857E7">
        <w:rPr>
          <w:rFonts w:cs="Arial"/>
          <w:color w:val="221E1F"/>
        </w:rPr>
        <w:t xml:space="preserve">Monique Mosser, </w:t>
      </w:r>
      <w:r w:rsidRPr="00A857E7">
        <w:rPr>
          <w:rFonts w:cs="Arial"/>
          <w:i/>
          <w:iCs/>
          <w:color w:val="221E1F"/>
        </w:rPr>
        <w:t xml:space="preserve">Patrimonio mondiale dell’umanità e museificazione nell’era del turismo </w:t>
      </w:r>
    </w:p>
    <w:p w14:paraId="4AF7E6DD" w14:textId="14650611" w:rsid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i/>
          <w:iCs/>
          <w:color w:val="221E1F"/>
        </w:rPr>
        <w:t>di massa. Riflessioni critiche e proposte</w:t>
      </w:r>
      <w:r w:rsidRPr="00A857E7">
        <w:rPr>
          <w:rFonts w:cs="Arial"/>
          <w:color w:val="221E1F"/>
        </w:rPr>
        <w:t xml:space="preserve">; </w:t>
      </w:r>
    </w:p>
    <w:p w14:paraId="79DD7296" w14:textId="05C3FE1A" w:rsidR="00A857E7" w:rsidRPr="00A857E7" w:rsidRDefault="00A857E7" w:rsidP="00A857E7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Maria Andaloro, </w:t>
      </w:r>
      <w:r w:rsidRPr="00A857E7">
        <w:rPr>
          <w:rFonts w:cs="Arial"/>
          <w:i/>
          <w:iCs/>
          <w:color w:val="221E1F"/>
        </w:rPr>
        <w:t xml:space="preserve">Pasolini e </w:t>
      </w:r>
      <w:r w:rsidRPr="00A857E7">
        <w:rPr>
          <w:rFonts w:cs="Arial"/>
          <w:color w:val="221E1F"/>
        </w:rPr>
        <w:t xml:space="preserve">Medea </w:t>
      </w:r>
      <w:r w:rsidRPr="00A857E7">
        <w:rPr>
          <w:rFonts w:cs="Arial"/>
          <w:i/>
          <w:iCs/>
          <w:color w:val="221E1F"/>
        </w:rPr>
        <w:t>in Cappadocia.</w:t>
      </w:r>
    </w:p>
    <w:p w14:paraId="6470FB87" w14:textId="77777777" w:rsidR="00C82449" w:rsidRDefault="00C82449" w:rsidP="00A857E7">
      <w:pPr>
        <w:jc w:val="both"/>
        <w:rPr>
          <w:rFonts w:cs="Arial"/>
          <w:color w:val="221E1F"/>
        </w:rPr>
      </w:pPr>
    </w:p>
    <w:p w14:paraId="22C25983" w14:textId="44E927F8" w:rsidR="00C82449" w:rsidRDefault="00C82449" w:rsidP="00A857E7">
      <w:pPr>
        <w:jc w:val="both"/>
        <w:rPr>
          <w:rFonts w:cs="Arial"/>
          <w:color w:val="221E1F"/>
        </w:rPr>
      </w:pPr>
      <w:r w:rsidRPr="00C82449">
        <w:rPr>
          <w:rFonts w:cs="Arial"/>
          <w:i/>
          <w:color w:val="221E1F"/>
        </w:rPr>
        <w:t xml:space="preserve">Premio </w:t>
      </w:r>
      <w:r w:rsidRPr="00396A7D">
        <w:rPr>
          <w:rFonts w:cs="Arial"/>
          <w:i/>
        </w:rPr>
        <w:t>Carlo Scarpa 1990</w:t>
      </w:r>
      <w:r w:rsidR="00D4298F" w:rsidRPr="00396A7D">
        <w:rPr>
          <w:rFonts w:cs="Arial"/>
          <w:i/>
        </w:rPr>
        <w:t>-</w:t>
      </w:r>
      <w:r w:rsidRPr="00396A7D">
        <w:rPr>
          <w:rFonts w:cs="Arial"/>
          <w:i/>
        </w:rPr>
        <w:t>2021</w:t>
      </w:r>
      <w:r w:rsidRPr="00396A7D">
        <w:rPr>
          <w:rFonts w:cs="Arial"/>
        </w:rPr>
        <w:t>;</w:t>
      </w:r>
    </w:p>
    <w:p w14:paraId="62883D6A" w14:textId="14F0C498" w:rsidR="00A857E7" w:rsidRDefault="00A857E7" w:rsidP="00A857E7">
      <w:pPr>
        <w:jc w:val="both"/>
        <w:rPr>
          <w:rFonts w:cs="Arial"/>
          <w:color w:val="221E1F"/>
        </w:rPr>
      </w:pPr>
      <w:r w:rsidRPr="00A857E7">
        <w:rPr>
          <w:rFonts w:cs="Arial"/>
          <w:i/>
          <w:iCs/>
          <w:color w:val="221E1F"/>
        </w:rPr>
        <w:t>Le attività del Premio Carlo Scarpa per il luogo</w:t>
      </w:r>
      <w:r w:rsidRPr="00A857E7">
        <w:rPr>
          <w:rFonts w:cs="Arial"/>
          <w:color w:val="221E1F"/>
        </w:rPr>
        <w:t xml:space="preserve">; </w:t>
      </w:r>
    </w:p>
    <w:p w14:paraId="2D8F5A41" w14:textId="77777777" w:rsidR="00A857E7" w:rsidRDefault="00A857E7" w:rsidP="00A857E7">
      <w:pPr>
        <w:jc w:val="both"/>
        <w:rPr>
          <w:rFonts w:cs="Arial"/>
          <w:color w:val="221E1F"/>
        </w:rPr>
      </w:pPr>
      <w:r w:rsidRPr="00A857E7">
        <w:rPr>
          <w:rFonts w:cs="Arial"/>
          <w:color w:val="221E1F"/>
        </w:rPr>
        <w:t xml:space="preserve">Bibliografia; </w:t>
      </w:r>
    </w:p>
    <w:p w14:paraId="0CB11998" w14:textId="1B0A4952" w:rsidR="00A857E7" w:rsidRDefault="00C82449" w:rsidP="00A857E7">
      <w:pPr>
        <w:jc w:val="both"/>
        <w:rPr>
          <w:rFonts w:cs="Arial"/>
          <w:color w:val="221E1F"/>
        </w:rPr>
      </w:pPr>
      <w:r w:rsidRPr="00A857E7">
        <w:rPr>
          <w:rFonts w:cs="Arial"/>
          <w:color w:val="221E1F"/>
        </w:rPr>
        <w:t>Gli autori</w:t>
      </w:r>
      <w:r w:rsidR="00A857E7" w:rsidRPr="00A857E7">
        <w:rPr>
          <w:rFonts w:cs="Arial"/>
          <w:color w:val="221E1F"/>
        </w:rPr>
        <w:t>;</w:t>
      </w:r>
    </w:p>
    <w:p w14:paraId="4C1B025E" w14:textId="059A9DE2" w:rsidR="00D4298F" w:rsidRPr="00396A7D" w:rsidRDefault="00C82449" w:rsidP="00A857E7">
      <w:pPr>
        <w:jc w:val="both"/>
        <w:rPr>
          <w:rStyle w:val="NewRailCartaIntestata"/>
          <w:rFonts w:ascii="Arial" w:hAnsi="Arial" w:cs="Arial"/>
          <w:color w:val="221E1F"/>
        </w:rPr>
      </w:pPr>
      <w:r w:rsidRPr="00A857E7">
        <w:rPr>
          <w:rFonts w:cs="Arial"/>
          <w:color w:val="221E1F"/>
        </w:rPr>
        <w:t>Referenze sulle illustrazioni</w:t>
      </w:r>
      <w:r>
        <w:rPr>
          <w:rFonts w:cs="Arial"/>
          <w:color w:val="221E1F"/>
        </w:rPr>
        <w:t>.</w:t>
      </w:r>
    </w:p>
    <w:sectPr w:rsidR="00D4298F" w:rsidRPr="00396A7D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378712" w14:textId="77777777" w:rsidR="00682595" w:rsidRDefault="00682595" w:rsidP="009E7D1D">
      <w:r>
        <w:separator/>
      </w:r>
    </w:p>
  </w:endnote>
  <w:endnote w:type="continuationSeparator" w:id="0">
    <w:p w14:paraId="3D708C02" w14:textId="77777777" w:rsidR="00682595" w:rsidRDefault="00682595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Times New Roman"/>
    <w:panose1 w:val="02000503060000020004"/>
    <w:charset w:val="00"/>
    <w:family w:val="auto"/>
    <w:pitch w:val="variable"/>
    <w:sig w:usb0="000000AF" w:usb1="8000405F" w:usb2="00000002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rtrait Regular">
    <w:altName w:val="Portrait Regular"/>
    <w:panose1 w:val="00000000000000000000"/>
    <w:charset w:val="4D"/>
    <w:family w:val="auto"/>
    <w:notTrueType/>
    <w:pitch w:val="variable"/>
    <w:sig w:usb0="00000003" w:usb1="00000000" w:usb2="00000000" w:usb3="00000000" w:csb0="00000093" w:csb1="00000000"/>
  </w:font>
  <w:font w:name="Portrait">
    <w:altName w:val="Times New Roman"/>
    <w:charset w:val="4D"/>
    <w:family w:val="auto"/>
    <w:pitch w:val="variable"/>
    <w:sig w:usb0="00000003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C36A71" w:rsidRDefault="00C36A71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C36A71" w:rsidRDefault="00C36A71" w:rsidP="001D3047">
    <w:pPr>
      <w:pStyle w:val="Pidipagina"/>
      <w:ind w:firstLine="360"/>
    </w:pPr>
  </w:p>
  <w:p w14:paraId="35A77281" w14:textId="77777777" w:rsidR="0081149D" w:rsidRDefault="0081149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529E875B" w:rsidR="00C36A71" w:rsidRDefault="00C36A71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 xml:space="preserve">p. </w:t>
    </w: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7F6F77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E58265F" w14:textId="77777777" w:rsidR="00C36A71" w:rsidRDefault="00C36A71" w:rsidP="001D3047">
    <w:pPr>
      <w:pStyle w:val="Pidipagina"/>
      <w:ind w:firstLine="360"/>
    </w:pPr>
  </w:p>
  <w:p w14:paraId="2C92AB6B" w14:textId="77777777" w:rsidR="0081149D" w:rsidRDefault="0081149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C36A71" w:rsidRDefault="00C36A71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52CC2B" w14:textId="77777777" w:rsidR="00682595" w:rsidRDefault="00682595" w:rsidP="009E7D1D">
      <w:r>
        <w:separator/>
      </w:r>
    </w:p>
  </w:footnote>
  <w:footnote w:type="continuationSeparator" w:id="0">
    <w:p w14:paraId="48C809DD" w14:textId="77777777" w:rsidR="00682595" w:rsidRDefault="00682595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C36A71" w:rsidRDefault="00C36A71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F77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  <w:p w14:paraId="36372449" w14:textId="77777777" w:rsidR="0081149D" w:rsidRDefault="0081149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C36A71" w:rsidRPr="00E05471" w:rsidRDefault="00C36A71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C00EFFA" w14:textId="77777777" w:rsidR="0081149D" w:rsidRDefault="0081149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C36A71" w:rsidRDefault="00C36A71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D1D"/>
    <w:rsid w:val="00031FCF"/>
    <w:rsid w:val="00036B7D"/>
    <w:rsid w:val="0004344A"/>
    <w:rsid w:val="00045B81"/>
    <w:rsid w:val="00046ED0"/>
    <w:rsid w:val="00052CEE"/>
    <w:rsid w:val="00054260"/>
    <w:rsid w:val="00066DB8"/>
    <w:rsid w:val="00072D6B"/>
    <w:rsid w:val="00083F53"/>
    <w:rsid w:val="00086551"/>
    <w:rsid w:val="0009573A"/>
    <w:rsid w:val="000B29E6"/>
    <w:rsid w:val="000B55FE"/>
    <w:rsid w:val="000B5658"/>
    <w:rsid w:val="000B7903"/>
    <w:rsid w:val="000C5F35"/>
    <w:rsid w:val="001073FD"/>
    <w:rsid w:val="00110777"/>
    <w:rsid w:val="00125812"/>
    <w:rsid w:val="00150561"/>
    <w:rsid w:val="001613E4"/>
    <w:rsid w:val="001628C9"/>
    <w:rsid w:val="0016529D"/>
    <w:rsid w:val="0017055F"/>
    <w:rsid w:val="001729BE"/>
    <w:rsid w:val="00183EBD"/>
    <w:rsid w:val="001863BB"/>
    <w:rsid w:val="00196E06"/>
    <w:rsid w:val="001A1567"/>
    <w:rsid w:val="001A3322"/>
    <w:rsid w:val="001A4CEC"/>
    <w:rsid w:val="001B29A8"/>
    <w:rsid w:val="001C0E91"/>
    <w:rsid w:val="001C6A74"/>
    <w:rsid w:val="001D3047"/>
    <w:rsid w:val="001D33F8"/>
    <w:rsid w:val="001D3DDB"/>
    <w:rsid w:val="001F0D76"/>
    <w:rsid w:val="001F1E2E"/>
    <w:rsid w:val="001F43AE"/>
    <w:rsid w:val="00203A0B"/>
    <w:rsid w:val="00220418"/>
    <w:rsid w:val="0022041A"/>
    <w:rsid w:val="00263DD6"/>
    <w:rsid w:val="00264D39"/>
    <w:rsid w:val="00270D3F"/>
    <w:rsid w:val="0027158E"/>
    <w:rsid w:val="00290B2B"/>
    <w:rsid w:val="00294323"/>
    <w:rsid w:val="00296FAB"/>
    <w:rsid w:val="002B73CC"/>
    <w:rsid w:val="002C1C4F"/>
    <w:rsid w:val="002E2ED6"/>
    <w:rsid w:val="002F2CF8"/>
    <w:rsid w:val="0030206F"/>
    <w:rsid w:val="00306D5D"/>
    <w:rsid w:val="00314CA3"/>
    <w:rsid w:val="00325728"/>
    <w:rsid w:val="003277FB"/>
    <w:rsid w:val="00331EE5"/>
    <w:rsid w:val="00342496"/>
    <w:rsid w:val="00345A48"/>
    <w:rsid w:val="003474A6"/>
    <w:rsid w:val="00363115"/>
    <w:rsid w:val="00366C21"/>
    <w:rsid w:val="003744A5"/>
    <w:rsid w:val="00377688"/>
    <w:rsid w:val="00377728"/>
    <w:rsid w:val="003848FA"/>
    <w:rsid w:val="00384B8E"/>
    <w:rsid w:val="0038537B"/>
    <w:rsid w:val="00386000"/>
    <w:rsid w:val="00393F4B"/>
    <w:rsid w:val="00396A7D"/>
    <w:rsid w:val="003A2D2D"/>
    <w:rsid w:val="003B2A64"/>
    <w:rsid w:val="003C55CB"/>
    <w:rsid w:val="003D0926"/>
    <w:rsid w:val="003E1FC0"/>
    <w:rsid w:val="004164F3"/>
    <w:rsid w:val="00416928"/>
    <w:rsid w:val="00421AC8"/>
    <w:rsid w:val="00423954"/>
    <w:rsid w:val="00436CD8"/>
    <w:rsid w:val="004375EE"/>
    <w:rsid w:val="004532D9"/>
    <w:rsid w:val="00461220"/>
    <w:rsid w:val="0047480A"/>
    <w:rsid w:val="00480CEA"/>
    <w:rsid w:val="00483237"/>
    <w:rsid w:val="00485620"/>
    <w:rsid w:val="004A59CE"/>
    <w:rsid w:val="004C1D4F"/>
    <w:rsid w:val="004D2CBB"/>
    <w:rsid w:val="004E17EF"/>
    <w:rsid w:val="004F5F8A"/>
    <w:rsid w:val="00501B5C"/>
    <w:rsid w:val="0050516E"/>
    <w:rsid w:val="00510791"/>
    <w:rsid w:val="00517F6E"/>
    <w:rsid w:val="005247FE"/>
    <w:rsid w:val="00540BBF"/>
    <w:rsid w:val="00555E8D"/>
    <w:rsid w:val="00562222"/>
    <w:rsid w:val="00570514"/>
    <w:rsid w:val="00575F1E"/>
    <w:rsid w:val="00591946"/>
    <w:rsid w:val="00592C6F"/>
    <w:rsid w:val="005C3B4F"/>
    <w:rsid w:val="005D429E"/>
    <w:rsid w:val="005D4A2A"/>
    <w:rsid w:val="005E3911"/>
    <w:rsid w:val="005F64E7"/>
    <w:rsid w:val="0062055C"/>
    <w:rsid w:val="00630F2C"/>
    <w:rsid w:val="006312EF"/>
    <w:rsid w:val="00634F59"/>
    <w:rsid w:val="00635D25"/>
    <w:rsid w:val="0064128A"/>
    <w:rsid w:val="006614E2"/>
    <w:rsid w:val="006653A0"/>
    <w:rsid w:val="00671D9F"/>
    <w:rsid w:val="00673A7E"/>
    <w:rsid w:val="00682595"/>
    <w:rsid w:val="0068371E"/>
    <w:rsid w:val="00683C7B"/>
    <w:rsid w:val="00694701"/>
    <w:rsid w:val="006A0A10"/>
    <w:rsid w:val="006A5045"/>
    <w:rsid w:val="006B39E5"/>
    <w:rsid w:val="006C029C"/>
    <w:rsid w:val="006D5C42"/>
    <w:rsid w:val="006F2C03"/>
    <w:rsid w:val="00701235"/>
    <w:rsid w:val="007228FA"/>
    <w:rsid w:val="00735E37"/>
    <w:rsid w:val="0073735B"/>
    <w:rsid w:val="00756CEE"/>
    <w:rsid w:val="00786D5A"/>
    <w:rsid w:val="00793DBC"/>
    <w:rsid w:val="007948E0"/>
    <w:rsid w:val="0079512B"/>
    <w:rsid w:val="007B224D"/>
    <w:rsid w:val="007C01E0"/>
    <w:rsid w:val="007C4612"/>
    <w:rsid w:val="007C5448"/>
    <w:rsid w:val="007C5A0E"/>
    <w:rsid w:val="007C6ADD"/>
    <w:rsid w:val="007C7A3B"/>
    <w:rsid w:val="007C7E15"/>
    <w:rsid w:val="007D179A"/>
    <w:rsid w:val="007D587B"/>
    <w:rsid w:val="007E143B"/>
    <w:rsid w:val="007F6F77"/>
    <w:rsid w:val="00806C2E"/>
    <w:rsid w:val="00810C90"/>
    <w:rsid w:val="0081149D"/>
    <w:rsid w:val="008135A3"/>
    <w:rsid w:val="00813DB8"/>
    <w:rsid w:val="008170DB"/>
    <w:rsid w:val="008230B7"/>
    <w:rsid w:val="00834BD0"/>
    <w:rsid w:val="00847A8D"/>
    <w:rsid w:val="0085755A"/>
    <w:rsid w:val="00857D39"/>
    <w:rsid w:val="008620EF"/>
    <w:rsid w:val="0086410A"/>
    <w:rsid w:val="00866CD3"/>
    <w:rsid w:val="008700B5"/>
    <w:rsid w:val="00875CA3"/>
    <w:rsid w:val="00883A3A"/>
    <w:rsid w:val="008918F0"/>
    <w:rsid w:val="008942AB"/>
    <w:rsid w:val="008A1F2E"/>
    <w:rsid w:val="008A54E8"/>
    <w:rsid w:val="008A5A84"/>
    <w:rsid w:val="008B3595"/>
    <w:rsid w:val="008D619E"/>
    <w:rsid w:val="008D6D9F"/>
    <w:rsid w:val="008E629E"/>
    <w:rsid w:val="008F1E27"/>
    <w:rsid w:val="00900431"/>
    <w:rsid w:val="00916562"/>
    <w:rsid w:val="009309C5"/>
    <w:rsid w:val="00931949"/>
    <w:rsid w:val="00940561"/>
    <w:rsid w:val="00941656"/>
    <w:rsid w:val="009445A8"/>
    <w:rsid w:val="0094759D"/>
    <w:rsid w:val="00950AA0"/>
    <w:rsid w:val="00950B7C"/>
    <w:rsid w:val="0097176C"/>
    <w:rsid w:val="00995351"/>
    <w:rsid w:val="009A7236"/>
    <w:rsid w:val="009B658B"/>
    <w:rsid w:val="009B6CB9"/>
    <w:rsid w:val="009C4FBE"/>
    <w:rsid w:val="009E64E5"/>
    <w:rsid w:val="009E7D1D"/>
    <w:rsid w:val="00A03E8B"/>
    <w:rsid w:val="00A06FDE"/>
    <w:rsid w:val="00A12ED0"/>
    <w:rsid w:val="00A1417C"/>
    <w:rsid w:val="00A363F8"/>
    <w:rsid w:val="00A40DA8"/>
    <w:rsid w:val="00A55DBC"/>
    <w:rsid w:val="00A7531B"/>
    <w:rsid w:val="00A80F34"/>
    <w:rsid w:val="00A82115"/>
    <w:rsid w:val="00A82844"/>
    <w:rsid w:val="00A857E7"/>
    <w:rsid w:val="00A955FA"/>
    <w:rsid w:val="00AA7A0D"/>
    <w:rsid w:val="00AD3ACA"/>
    <w:rsid w:val="00AD3D33"/>
    <w:rsid w:val="00AE0D73"/>
    <w:rsid w:val="00AE67DB"/>
    <w:rsid w:val="00B06035"/>
    <w:rsid w:val="00B1253A"/>
    <w:rsid w:val="00B308DD"/>
    <w:rsid w:val="00B356CC"/>
    <w:rsid w:val="00B43A13"/>
    <w:rsid w:val="00B44993"/>
    <w:rsid w:val="00B46ADA"/>
    <w:rsid w:val="00B548A3"/>
    <w:rsid w:val="00B70AAA"/>
    <w:rsid w:val="00B74598"/>
    <w:rsid w:val="00B75DC9"/>
    <w:rsid w:val="00B96771"/>
    <w:rsid w:val="00BA0F83"/>
    <w:rsid w:val="00BA4C09"/>
    <w:rsid w:val="00BA73F9"/>
    <w:rsid w:val="00BB797C"/>
    <w:rsid w:val="00BC486D"/>
    <w:rsid w:val="00BC5536"/>
    <w:rsid w:val="00BD2603"/>
    <w:rsid w:val="00BF31E5"/>
    <w:rsid w:val="00C11BB9"/>
    <w:rsid w:val="00C31C09"/>
    <w:rsid w:val="00C32016"/>
    <w:rsid w:val="00C36A71"/>
    <w:rsid w:val="00C451DB"/>
    <w:rsid w:val="00C55612"/>
    <w:rsid w:val="00C57367"/>
    <w:rsid w:val="00C615D2"/>
    <w:rsid w:val="00C82449"/>
    <w:rsid w:val="00C8791C"/>
    <w:rsid w:val="00C96FDF"/>
    <w:rsid w:val="00CA71D5"/>
    <w:rsid w:val="00CB13BB"/>
    <w:rsid w:val="00CB4F26"/>
    <w:rsid w:val="00CC3CBF"/>
    <w:rsid w:val="00CD464F"/>
    <w:rsid w:val="00CE4600"/>
    <w:rsid w:val="00CF3A76"/>
    <w:rsid w:val="00CF41C5"/>
    <w:rsid w:val="00CF572A"/>
    <w:rsid w:val="00CF7237"/>
    <w:rsid w:val="00D012BE"/>
    <w:rsid w:val="00D04750"/>
    <w:rsid w:val="00D144D3"/>
    <w:rsid w:val="00D21131"/>
    <w:rsid w:val="00D337AD"/>
    <w:rsid w:val="00D4298F"/>
    <w:rsid w:val="00D60061"/>
    <w:rsid w:val="00D71171"/>
    <w:rsid w:val="00D87083"/>
    <w:rsid w:val="00D9028C"/>
    <w:rsid w:val="00DA00E3"/>
    <w:rsid w:val="00DB410D"/>
    <w:rsid w:val="00DC22B0"/>
    <w:rsid w:val="00DC3664"/>
    <w:rsid w:val="00DC6DD1"/>
    <w:rsid w:val="00DE3617"/>
    <w:rsid w:val="00DE497F"/>
    <w:rsid w:val="00DE6E6A"/>
    <w:rsid w:val="00DF38AA"/>
    <w:rsid w:val="00E03813"/>
    <w:rsid w:val="00E05471"/>
    <w:rsid w:val="00E12AA6"/>
    <w:rsid w:val="00E15153"/>
    <w:rsid w:val="00E361DA"/>
    <w:rsid w:val="00E5135A"/>
    <w:rsid w:val="00E558D7"/>
    <w:rsid w:val="00E55CA6"/>
    <w:rsid w:val="00E679E8"/>
    <w:rsid w:val="00E724F1"/>
    <w:rsid w:val="00E74603"/>
    <w:rsid w:val="00E8720F"/>
    <w:rsid w:val="00E92137"/>
    <w:rsid w:val="00ED0BD9"/>
    <w:rsid w:val="00EE4B93"/>
    <w:rsid w:val="00EF59F8"/>
    <w:rsid w:val="00F0015D"/>
    <w:rsid w:val="00F029A1"/>
    <w:rsid w:val="00F05866"/>
    <w:rsid w:val="00F1076C"/>
    <w:rsid w:val="00F126E2"/>
    <w:rsid w:val="00F12E6A"/>
    <w:rsid w:val="00F16955"/>
    <w:rsid w:val="00F20202"/>
    <w:rsid w:val="00F22F6F"/>
    <w:rsid w:val="00F27758"/>
    <w:rsid w:val="00F427DD"/>
    <w:rsid w:val="00F67652"/>
    <w:rsid w:val="00F8392F"/>
    <w:rsid w:val="00F96076"/>
    <w:rsid w:val="00FB0D90"/>
    <w:rsid w:val="00FB5226"/>
    <w:rsid w:val="00FB7B64"/>
    <w:rsid w:val="00FC3042"/>
    <w:rsid w:val="00FE65EA"/>
    <w:rsid w:val="00F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8B9837EA-E2C1-7A42-A81E-FFC160533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Pa6">
    <w:name w:val="Pa6"/>
    <w:basedOn w:val="Normale"/>
    <w:next w:val="Normale"/>
    <w:uiPriority w:val="99"/>
    <w:rsid w:val="00EF59F8"/>
    <w:pPr>
      <w:tabs>
        <w:tab w:val="clear" w:pos="454"/>
        <w:tab w:val="clear" w:pos="907"/>
      </w:tabs>
      <w:autoSpaceDE w:val="0"/>
      <w:autoSpaceDN w:val="0"/>
      <w:adjustRightInd w:val="0"/>
      <w:spacing w:line="241" w:lineRule="atLeast"/>
    </w:pPr>
    <w:rPr>
      <w:rFonts w:ascii="Portrait Regular" w:hAnsi="Portrait Regular"/>
      <w:sz w:val="24"/>
      <w:szCs w:val="24"/>
    </w:rPr>
  </w:style>
  <w:style w:type="character" w:customStyle="1" w:styleId="A0">
    <w:name w:val="A0"/>
    <w:uiPriority w:val="99"/>
    <w:rsid w:val="00EF59F8"/>
    <w:rPr>
      <w:rFonts w:cs="Portrait Regular"/>
      <w:color w:val="221E1F"/>
      <w:sz w:val="18"/>
      <w:szCs w:val="18"/>
    </w:rPr>
  </w:style>
  <w:style w:type="paragraph" w:customStyle="1" w:styleId="Default">
    <w:name w:val="Default"/>
    <w:rsid w:val="008230B7"/>
    <w:pPr>
      <w:autoSpaceDE w:val="0"/>
      <w:autoSpaceDN w:val="0"/>
      <w:adjustRightInd w:val="0"/>
    </w:pPr>
    <w:rPr>
      <w:rFonts w:ascii="Portrait Regular" w:hAnsi="Portrait Regular" w:cs="Portrait 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27758"/>
    <w:rPr>
      <w:color w:val="0000FF" w:themeColor="hyperlink"/>
      <w:u w:val="single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09573A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0B55FE"/>
    <w:pPr>
      <w:tabs>
        <w:tab w:val="clear" w:pos="454"/>
        <w:tab w:val="clear" w:pos="907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A857E7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CBEB3F-7BFB-4B8E-A3A2-F9361E0AE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5</cp:revision>
  <cp:lastPrinted>2020-10-14T12:12:00Z</cp:lastPrinted>
  <dcterms:created xsi:type="dcterms:W3CDTF">2020-10-19T10:09:00Z</dcterms:created>
  <dcterms:modified xsi:type="dcterms:W3CDTF">2020-10-20T09:00:00Z</dcterms:modified>
</cp:coreProperties>
</file>