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9704" w14:textId="77777777" w:rsidR="009E2A6C" w:rsidRPr="00745DE4" w:rsidRDefault="009E2A6C" w:rsidP="009E2A6C">
      <w:pPr>
        <w:ind w:left="567" w:right="566"/>
        <w:jc w:val="center"/>
      </w:pPr>
      <w:r w:rsidRPr="00745DE4">
        <w:rPr>
          <w:noProof/>
          <w:lang w:eastAsia="it-IT"/>
        </w:rPr>
        <w:drawing>
          <wp:inline distT="0" distB="0" distL="0" distR="0" wp14:anchorId="01714874" wp14:editId="71F52F01">
            <wp:extent cx="1079500" cy="1181100"/>
            <wp:effectExtent l="0" t="0" r="6350" b="0"/>
            <wp:docPr id="1" name="Immagine 1" descr="Comune_di_Tre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une_di_Trevis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E4">
        <w:rPr>
          <w:noProof/>
          <w:lang w:eastAsia="it-IT"/>
        </w:rPr>
        <w:drawing>
          <wp:inline distT="0" distB="0" distL="0" distR="0" wp14:anchorId="6619214A" wp14:editId="6D1EF6DC">
            <wp:extent cx="1352550" cy="488950"/>
            <wp:effectExtent l="0" t="0" r="0" b="6350"/>
            <wp:docPr id="2" name="Immagine 2" descr="01-A4_marchio_MCTV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01-A4_marchio_MCTV_CMY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3EC9" w14:textId="77777777" w:rsidR="009E2A6C" w:rsidRDefault="009E2A6C" w:rsidP="00D7011A">
      <w:pPr>
        <w:ind w:left="567" w:right="566"/>
        <w:jc w:val="both"/>
        <w:rPr>
          <w:rFonts w:asciiTheme="minorHAnsi" w:hAnsiTheme="minorHAnsi" w:cstheme="minorHAnsi"/>
        </w:rPr>
      </w:pPr>
    </w:p>
    <w:p w14:paraId="41A5541F" w14:textId="77777777" w:rsidR="009E2A6C" w:rsidRDefault="009E2A6C" w:rsidP="00D7011A">
      <w:pPr>
        <w:ind w:left="567" w:right="566"/>
        <w:jc w:val="both"/>
        <w:rPr>
          <w:rFonts w:asciiTheme="minorHAnsi" w:hAnsiTheme="minorHAnsi" w:cstheme="minorHAnsi"/>
        </w:rPr>
      </w:pPr>
    </w:p>
    <w:p w14:paraId="08FFE2AD" w14:textId="5FE07996" w:rsidR="00D7011A" w:rsidRPr="009E2A6C" w:rsidRDefault="00C358FC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>Nota Informativa</w:t>
      </w:r>
    </w:p>
    <w:p w14:paraId="5BA7AE2F" w14:textId="77777777" w:rsidR="00C358FC" w:rsidRPr="009E2A6C" w:rsidRDefault="00C358FC" w:rsidP="00D7011A">
      <w:pPr>
        <w:ind w:left="567" w:right="566"/>
        <w:jc w:val="both"/>
        <w:rPr>
          <w:rFonts w:asciiTheme="minorHAnsi" w:hAnsiTheme="minorHAnsi" w:cstheme="minorHAnsi"/>
        </w:rPr>
      </w:pPr>
    </w:p>
    <w:p w14:paraId="4AD228C6" w14:textId="4F59A0F3" w:rsidR="00C358FC" w:rsidRPr="009E2A6C" w:rsidRDefault="00C358FC" w:rsidP="00C358FC">
      <w:pPr>
        <w:ind w:left="567" w:right="566"/>
        <w:jc w:val="right"/>
        <w:rPr>
          <w:rFonts w:asciiTheme="minorHAnsi" w:hAnsiTheme="minorHAnsi" w:cstheme="minorHAnsi"/>
          <w:b/>
        </w:rPr>
      </w:pPr>
      <w:r w:rsidRPr="009E2A6C">
        <w:rPr>
          <w:rFonts w:asciiTheme="minorHAnsi" w:hAnsiTheme="minorHAnsi" w:cstheme="minorHAnsi"/>
          <w:b/>
        </w:rPr>
        <w:t>Una sala riservata ai grandi Donatori</w:t>
      </w:r>
    </w:p>
    <w:p w14:paraId="7B731CC0" w14:textId="77777777" w:rsidR="00C358FC" w:rsidRPr="009E2A6C" w:rsidRDefault="00C358FC" w:rsidP="00C358FC">
      <w:pPr>
        <w:ind w:left="567" w:right="566"/>
        <w:jc w:val="right"/>
        <w:rPr>
          <w:rFonts w:asciiTheme="minorHAnsi" w:hAnsiTheme="minorHAnsi" w:cstheme="minorHAnsi"/>
          <w:b/>
        </w:rPr>
      </w:pPr>
      <w:r w:rsidRPr="009E2A6C">
        <w:rPr>
          <w:rFonts w:asciiTheme="minorHAnsi" w:hAnsiTheme="minorHAnsi" w:cstheme="minorHAnsi"/>
          <w:b/>
        </w:rPr>
        <w:t xml:space="preserve">Rivive la storia delle trasformazioni </w:t>
      </w:r>
    </w:p>
    <w:p w14:paraId="0A22F660" w14:textId="77777777" w:rsidR="00C358FC" w:rsidRPr="009E2A6C" w:rsidRDefault="00C358FC" w:rsidP="00C358FC">
      <w:pPr>
        <w:ind w:left="567" w:right="566"/>
        <w:jc w:val="right"/>
        <w:rPr>
          <w:rFonts w:asciiTheme="minorHAnsi" w:hAnsiTheme="minorHAnsi" w:cstheme="minorHAnsi"/>
          <w:b/>
        </w:rPr>
      </w:pPr>
      <w:r w:rsidRPr="009E2A6C">
        <w:rPr>
          <w:rFonts w:asciiTheme="minorHAnsi" w:hAnsiTheme="minorHAnsi" w:cstheme="minorHAnsi"/>
          <w:b/>
        </w:rPr>
        <w:t>economiche e sociali della Città</w:t>
      </w:r>
    </w:p>
    <w:p w14:paraId="7A5287D4" w14:textId="77777777" w:rsidR="00C358FC" w:rsidRPr="009E2A6C" w:rsidRDefault="00C358FC" w:rsidP="00D7011A">
      <w:pPr>
        <w:ind w:left="567" w:right="566"/>
        <w:jc w:val="both"/>
        <w:rPr>
          <w:rFonts w:asciiTheme="minorHAnsi" w:hAnsiTheme="minorHAnsi" w:cstheme="minorHAnsi"/>
        </w:rPr>
      </w:pPr>
    </w:p>
    <w:p w14:paraId="4B31D0BE" w14:textId="77777777" w:rsidR="00C358FC" w:rsidRPr="009E2A6C" w:rsidRDefault="00C358FC" w:rsidP="00D7011A">
      <w:pPr>
        <w:ind w:left="567" w:right="566"/>
        <w:jc w:val="both"/>
        <w:rPr>
          <w:rFonts w:asciiTheme="minorHAnsi" w:hAnsiTheme="minorHAnsi" w:cstheme="minorHAnsi"/>
        </w:rPr>
      </w:pPr>
    </w:p>
    <w:p w14:paraId="5121E542" w14:textId="77777777" w:rsidR="00D7011A" w:rsidRPr="009E2A6C" w:rsidRDefault="00D7011A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>È un omaggio doveroso quello che i Civici Musei di Treviso hanno deciso di esplicitare negli spazi espositivi del nuovo Bailo. Qui, per la prima volta nei Musei Trevigiani e verosimilmente anche negli altri musei, una intera sala è riservata ai “Donatori”, ovvero a coloro che hanno deciso di privarsi di loro tesori d’arte per offrirli al godimento collettivo</w:t>
      </w:r>
      <w:r w:rsidR="009B352F" w:rsidRPr="009E2A6C">
        <w:rPr>
          <w:rFonts w:asciiTheme="minorHAnsi" w:hAnsiTheme="minorHAnsi" w:cstheme="minorHAnsi"/>
        </w:rPr>
        <w:t xml:space="preserve"> – una sala idealmente dedicata a tutti i donatori che fino ad oggi hanno contribuito a far crescere il Museo (in allegato i donatori dell’ultimo triennio)</w:t>
      </w:r>
      <w:r w:rsidRPr="009E2A6C">
        <w:rPr>
          <w:rFonts w:asciiTheme="minorHAnsi" w:hAnsiTheme="minorHAnsi" w:cstheme="minorHAnsi"/>
        </w:rPr>
        <w:t>.</w:t>
      </w:r>
    </w:p>
    <w:p w14:paraId="1C6505D2" w14:textId="02995B2F" w:rsidR="00D7011A" w:rsidRPr="009E2A6C" w:rsidRDefault="00D7011A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>S</w:t>
      </w:r>
      <w:r w:rsidR="009B352F" w:rsidRPr="009E2A6C">
        <w:rPr>
          <w:rFonts w:asciiTheme="minorHAnsi" w:hAnsiTheme="minorHAnsi" w:cstheme="minorHAnsi"/>
        </w:rPr>
        <w:t xml:space="preserve">i tratta di </w:t>
      </w:r>
      <w:r w:rsidRPr="009E2A6C">
        <w:rPr>
          <w:rFonts w:asciiTheme="minorHAnsi" w:hAnsiTheme="minorHAnsi" w:cstheme="minorHAnsi"/>
        </w:rPr>
        <w:t>personalità che negli ultimi decenni dell’Ottocento e i primi del XX secolo hanno anche contribuito alle trasformazioni socio-economiche e di progressivo passaggio da una dimensione prevalentemente rurale a un’economia proto-industriale</w:t>
      </w:r>
      <w:r w:rsidR="009B352F" w:rsidRPr="009E2A6C">
        <w:rPr>
          <w:rFonts w:asciiTheme="minorHAnsi" w:hAnsiTheme="minorHAnsi" w:cstheme="minorHAnsi"/>
        </w:rPr>
        <w:t>: gli Appiani,</w:t>
      </w:r>
      <w:r w:rsidR="00F52ED0">
        <w:rPr>
          <w:rFonts w:asciiTheme="minorHAnsi" w:hAnsiTheme="minorHAnsi" w:cstheme="minorHAnsi"/>
        </w:rPr>
        <w:t xml:space="preserve"> i Provera,</w:t>
      </w:r>
      <w:r w:rsidRPr="009E2A6C">
        <w:rPr>
          <w:rFonts w:asciiTheme="minorHAnsi" w:hAnsiTheme="minorHAnsi" w:cstheme="minorHAnsi"/>
        </w:rPr>
        <w:t xml:space="preserve"> i </w:t>
      </w:r>
      <w:proofErr w:type="spellStart"/>
      <w:r w:rsidRPr="009E2A6C">
        <w:rPr>
          <w:rFonts w:asciiTheme="minorHAnsi" w:hAnsiTheme="minorHAnsi" w:cstheme="minorHAnsi"/>
        </w:rPr>
        <w:t>Lorenzon</w:t>
      </w:r>
      <w:proofErr w:type="spellEnd"/>
      <w:r w:rsidRPr="009E2A6C">
        <w:rPr>
          <w:rFonts w:asciiTheme="minorHAnsi" w:hAnsiTheme="minorHAnsi" w:cstheme="minorHAnsi"/>
        </w:rPr>
        <w:t xml:space="preserve"> ecc.</w:t>
      </w:r>
    </w:p>
    <w:p w14:paraId="6A9D11E4" w14:textId="3CB29CA6" w:rsidR="00D7011A" w:rsidRPr="009E2A6C" w:rsidRDefault="00D7011A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>Questa sezione prende idealmente il via dal grande dipinto di Lino Selvatico raffi</w:t>
      </w:r>
      <w:r w:rsidR="00F52ED0">
        <w:rPr>
          <w:rFonts w:asciiTheme="minorHAnsi" w:hAnsiTheme="minorHAnsi" w:cstheme="minorHAnsi"/>
        </w:rPr>
        <w:t xml:space="preserve">gurante Teresita </w:t>
      </w:r>
      <w:proofErr w:type="spellStart"/>
      <w:r w:rsidR="00F52ED0">
        <w:rPr>
          <w:rFonts w:asciiTheme="minorHAnsi" w:hAnsiTheme="minorHAnsi" w:cstheme="minorHAnsi"/>
        </w:rPr>
        <w:t>Lorenzon</w:t>
      </w:r>
      <w:proofErr w:type="spellEnd"/>
      <w:r w:rsidR="00F52ED0">
        <w:rPr>
          <w:rFonts w:asciiTheme="minorHAnsi" w:hAnsiTheme="minorHAnsi" w:cstheme="minorHAnsi"/>
        </w:rPr>
        <w:t xml:space="preserve"> che, </w:t>
      </w:r>
      <w:r w:rsidRPr="009E2A6C">
        <w:rPr>
          <w:rFonts w:asciiTheme="minorHAnsi" w:hAnsiTheme="minorHAnsi" w:cstheme="minorHAnsi"/>
        </w:rPr>
        <w:t xml:space="preserve">con lascito, ha legato ai Musei Civici un consistente nucleo di opere provenienti dai rami materno e paterno della famiglia, i Provera, e i </w:t>
      </w:r>
      <w:proofErr w:type="spellStart"/>
      <w:r w:rsidRPr="009E2A6C">
        <w:rPr>
          <w:rFonts w:asciiTheme="minorHAnsi" w:hAnsiTheme="minorHAnsi" w:cstheme="minorHAnsi"/>
        </w:rPr>
        <w:t>Lorenzon</w:t>
      </w:r>
      <w:proofErr w:type="spellEnd"/>
      <w:r w:rsidRPr="009E2A6C">
        <w:rPr>
          <w:rFonts w:asciiTheme="minorHAnsi" w:hAnsiTheme="minorHAnsi" w:cstheme="minorHAnsi"/>
        </w:rPr>
        <w:t>, a cui pertengono anche i ritratti qui esposti. Affascinanti finest</w:t>
      </w:r>
      <w:r w:rsidR="00F52ED0">
        <w:rPr>
          <w:rFonts w:asciiTheme="minorHAnsi" w:hAnsiTheme="minorHAnsi" w:cstheme="minorHAnsi"/>
        </w:rPr>
        <w:t>re sulla vita dell’</w:t>
      </w:r>
      <w:r w:rsidRPr="009E2A6C">
        <w:rPr>
          <w:rFonts w:asciiTheme="minorHAnsi" w:hAnsiTheme="minorHAnsi" w:cstheme="minorHAnsi"/>
        </w:rPr>
        <w:t>élite trevigiana in un periodo di profonda trasformazione. Incarnano le aspirazioni, i valori e le dinamiche sociali in evoluzione di una città che abbraccia il suo futuro industriale preservando al contempo il suo ricco patrimonio artistico.</w:t>
      </w:r>
    </w:p>
    <w:p w14:paraId="26C45868" w14:textId="30AE02D2" w:rsidR="00D7011A" w:rsidRPr="009E2A6C" w:rsidRDefault="00D7011A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 xml:space="preserve">Spettano a Luigi Serena i </w:t>
      </w:r>
      <w:r w:rsidR="00F52ED0">
        <w:rPr>
          <w:rFonts w:asciiTheme="minorHAnsi" w:hAnsiTheme="minorHAnsi" w:cstheme="minorHAnsi"/>
        </w:rPr>
        <w:t>r</w:t>
      </w:r>
      <w:r w:rsidRPr="009E2A6C">
        <w:rPr>
          <w:rFonts w:asciiTheme="minorHAnsi" w:hAnsiTheme="minorHAnsi" w:cstheme="minorHAnsi"/>
        </w:rPr>
        <w:t xml:space="preserve">itratti di Pietro Provera, della moglie Teresa, e della madre di lui Delfina, nonché quello di Giobatta </w:t>
      </w:r>
      <w:proofErr w:type="spellStart"/>
      <w:r w:rsidRPr="009E2A6C">
        <w:rPr>
          <w:rFonts w:asciiTheme="minorHAnsi" w:hAnsiTheme="minorHAnsi" w:cstheme="minorHAnsi"/>
        </w:rPr>
        <w:t>Lorenzon</w:t>
      </w:r>
      <w:proofErr w:type="spellEnd"/>
      <w:r w:rsidRPr="009E2A6C">
        <w:rPr>
          <w:rFonts w:asciiTheme="minorHAnsi" w:hAnsiTheme="minorHAnsi" w:cstheme="minorHAnsi"/>
        </w:rPr>
        <w:t>. Eseguiti tra</w:t>
      </w:r>
      <w:r w:rsidR="00F52ED0">
        <w:rPr>
          <w:rFonts w:asciiTheme="minorHAnsi" w:hAnsiTheme="minorHAnsi" w:cstheme="minorHAnsi"/>
        </w:rPr>
        <w:t xml:space="preserve"> il</w:t>
      </w:r>
      <w:r w:rsidRPr="009E2A6C">
        <w:rPr>
          <w:rFonts w:asciiTheme="minorHAnsi" w:hAnsiTheme="minorHAnsi" w:cstheme="minorHAnsi"/>
        </w:rPr>
        <w:t xml:space="preserve"> 1901 e </w:t>
      </w:r>
      <w:r w:rsidR="00F52ED0">
        <w:rPr>
          <w:rFonts w:asciiTheme="minorHAnsi" w:hAnsiTheme="minorHAnsi" w:cstheme="minorHAnsi"/>
        </w:rPr>
        <w:t xml:space="preserve">il </w:t>
      </w:r>
      <w:r w:rsidRPr="009E2A6C">
        <w:rPr>
          <w:rFonts w:asciiTheme="minorHAnsi" w:hAnsiTheme="minorHAnsi" w:cstheme="minorHAnsi"/>
        </w:rPr>
        <w:t>1907</w:t>
      </w:r>
      <w:r w:rsidR="00F52ED0">
        <w:rPr>
          <w:rFonts w:asciiTheme="minorHAnsi" w:hAnsiTheme="minorHAnsi" w:cstheme="minorHAnsi"/>
        </w:rPr>
        <w:t>,</w:t>
      </w:r>
      <w:r w:rsidRPr="009E2A6C">
        <w:rPr>
          <w:rFonts w:asciiTheme="minorHAnsi" w:hAnsiTheme="minorHAnsi" w:cstheme="minorHAnsi"/>
        </w:rPr>
        <w:t xml:space="preserve"> mostrano la capacità di Serena di mediare tra le istanze di ufficialità, capacità di resa realistica, e</w:t>
      </w:r>
      <w:r w:rsidR="00F52ED0">
        <w:rPr>
          <w:rFonts w:asciiTheme="minorHAnsi" w:hAnsiTheme="minorHAnsi" w:cstheme="minorHAnsi"/>
        </w:rPr>
        <w:t>spressione dal dato psicologico</w:t>
      </w:r>
      <w:r w:rsidRPr="009E2A6C">
        <w:rPr>
          <w:rFonts w:asciiTheme="minorHAnsi" w:hAnsiTheme="minorHAnsi" w:cstheme="minorHAnsi"/>
        </w:rPr>
        <w:t xml:space="preserve"> e ricerca pittorica, specialmente nel ritratto di Pietro.</w:t>
      </w:r>
    </w:p>
    <w:p w14:paraId="55805BEE" w14:textId="6961E81B" w:rsidR="00D7011A" w:rsidRPr="009E2A6C" w:rsidRDefault="00D7011A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 xml:space="preserve">Spetta a un anonimo pittore, non distante però dai modi di Serena, il ritratto di Giovanni Provera, padre di Pietro. Una seconda raffigurazione di quest’ultimo, realizzata nel 1921, si deve a Guiscardo </w:t>
      </w:r>
      <w:proofErr w:type="spellStart"/>
      <w:r w:rsidRPr="009E2A6C">
        <w:rPr>
          <w:rFonts w:asciiTheme="minorHAnsi" w:hAnsiTheme="minorHAnsi" w:cstheme="minorHAnsi"/>
        </w:rPr>
        <w:t>Sbrojavacca</w:t>
      </w:r>
      <w:proofErr w:type="spellEnd"/>
      <w:r w:rsidRPr="009E2A6C">
        <w:rPr>
          <w:rFonts w:asciiTheme="minorHAnsi" w:hAnsiTheme="minorHAnsi" w:cstheme="minorHAnsi"/>
        </w:rPr>
        <w:t xml:space="preserve">, che lo ritrae impeccabile nell’abito nero, ma d’aspetto più bonario e gentile rispetto all’effige di vent’anni precedente che raffigura un uomo sicuro e affermato nel proprio ruolo sociale. </w:t>
      </w:r>
      <w:proofErr w:type="spellStart"/>
      <w:r w:rsidRPr="009E2A6C">
        <w:rPr>
          <w:rFonts w:asciiTheme="minorHAnsi" w:hAnsiTheme="minorHAnsi" w:cstheme="minorHAnsi"/>
        </w:rPr>
        <w:t>Sbrojavacca</w:t>
      </w:r>
      <w:proofErr w:type="spellEnd"/>
      <w:r w:rsidRPr="009E2A6C">
        <w:rPr>
          <w:rFonts w:asciiTheme="minorHAnsi" w:hAnsiTheme="minorHAnsi" w:cstheme="minorHAnsi"/>
        </w:rPr>
        <w:t xml:space="preserve"> fu abile ritrattista assai apprezzato dalla buona società trevigiana per il suo raffinato uso del pastello, capace di esiti talora quasi iperrealisti, come nella figura di Regina </w:t>
      </w:r>
      <w:proofErr w:type="spellStart"/>
      <w:r w:rsidRPr="009E2A6C">
        <w:rPr>
          <w:rFonts w:asciiTheme="minorHAnsi" w:hAnsiTheme="minorHAnsi" w:cstheme="minorHAnsi"/>
        </w:rPr>
        <w:t>Lorenzon</w:t>
      </w:r>
      <w:proofErr w:type="spellEnd"/>
      <w:r w:rsidRPr="009E2A6C">
        <w:rPr>
          <w:rFonts w:asciiTheme="minorHAnsi" w:hAnsiTheme="minorHAnsi" w:cstheme="minorHAnsi"/>
        </w:rPr>
        <w:t xml:space="preserve">, ma anche di atmosfere tra il magico e il trasognante, come nel bel ritratto all’aperto di Achille </w:t>
      </w:r>
      <w:proofErr w:type="spellStart"/>
      <w:r w:rsidRPr="009E2A6C">
        <w:rPr>
          <w:rFonts w:asciiTheme="minorHAnsi" w:hAnsiTheme="minorHAnsi" w:cstheme="minorHAnsi"/>
        </w:rPr>
        <w:t>Lorenzon</w:t>
      </w:r>
      <w:proofErr w:type="spellEnd"/>
      <w:r w:rsidRPr="009E2A6C">
        <w:rPr>
          <w:rFonts w:asciiTheme="minorHAnsi" w:hAnsiTheme="minorHAnsi" w:cstheme="minorHAnsi"/>
        </w:rPr>
        <w:t>, genero di Pietro e padre di Teresita, anch’egli imprenditore capace e intraprendente, e nella cui raccolta confluirono le opere di Provera</w:t>
      </w:r>
      <w:r w:rsidR="00F52ED0">
        <w:rPr>
          <w:rFonts w:asciiTheme="minorHAnsi" w:hAnsiTheme="minorHAnsi" w:cstheme="minorHAnsi"/>
        </w:rPr>
        <w:t>. Spettano infine a Dario Gobbi</w:t>
      </w:r>
      <w:r w:rsidRPr="009E2A6C">
        <w:rPr>
          <w:rFonts w:asciiTheme="minorHAnsi" w:hAnsiTheme="minorHAnsi" w:cstheme="minorHAnsi"/>
        </w:rPr>
        <w:t xml:space="preserve"> i pastelli che raffigurano Te</w:t>
      </w:r>
      <w:r w:rsidR="00F52ED0">
        <w:rPr>
          <w:rFonts w:asciiTheme="minorHAnsi" w:hAnsiTheme="minorHAnsi" w:cstheme="minorHAnsi"/>
        </w:rPr>
        <w:t>resita all’età di 26 anni,</w:t>
      </w:r>
      <w:bookmarkStart w:id="0" w:name="_GoBack"/>
      <w:bookmarkEnd w:id="0"/>
      <w:r w:rsidRPr="009E2A6C">
        <w:rPr>
          <w:rFonts w:asciiTheme="minorHAnsi" w:hAnsiTheme="minorHAnsi" w:cstheme="minorHAnsi"/>
        </w:rPr>
        <w:t xml:space="preserve"> e la madre Ermelinda Provera, figlia di Pietro e moglie di Achille.</w:t>
      </w:r>
    </w:p>
    <w:p w14:paraId="3853A49C" w14:textId="77777777" w:rsidR="00D7011A" w:rsidRPr="009E2A6C" w:rsidRDefault="00D7011A" w:rsidP="00D7011A">
      <w:pPr>
        <w:ind w:left="567" w:right="566"/>
        <w:jc w:val="both"/>
        <w:rPr>
          <w:rFonts w:asciiTheme="minorHAnsi" w:hAnsiTheme="minorHAnsi" w:cstheme="minorHAnsi"/>
        </w:rPr>
      </w:pPr>
      <w:r w:rsidRPr="009E2A6C">
        <w:rPr>
          <w:rFonts w:asciiTheme="minorHAnsi" w:hAnsiTheme="minorHAnsi" w:cstheme="minorHAnsi"/>
        </w:rPr>
        <w:t>Una sala che crea un ponte con la mostra “Donna in scena” dove protagoniste sono molte donne di questa borghesia.</w:t>
      </w:r>
    </w:p>
    <w:sectPr w:rsidR="00D7011A" w:rsidRPr="009E2A6C" w:rsidSect="009E2A6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C"/>
    <w:rsid w:val="0047341C"/>
    <w:rsid w:val="004B14E7"/>
    <w:rsid w:val="009B352F"/>
    <w:rsid w:val="009E2A6C"/>
    <w:rsid w:val="00A12555"/>
    <w:rsid w:val="00A47A4F"/>
    <w:rsid w:val="00C358FC"/>
    <w:rsid w:val="00D7011A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A2F2"/>
  <w15:docId w15:val="{D4EE0A1A-CFEF-4888-8A58-0E259B3A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Antonella Pasinato</cp:lastModifiedBy>
  <cp:revision>2</cp:revision>
  <dcterms:created xsi:type="dcterms:W3CDTF">2024-07-16T08:28:00Z</dcterms:created>
  <dcterms:modified xsi:type="dcterms:W3CDTF">2024-07-16T08:28:00Z</dcterms:modified>
</cp:coreProperties>
</file>