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Comunicato stampa: ETRUSCHI. Artisti e artigiani</w:t>
      </w: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Bolzano, Centro Trevi-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Trevilab</w:t>
      </w:r>
      <w:proofErr w:type="spellEnd"/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24 ottobre 2024 – 2 febbraio 2025</w:t>
      </w: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Mostra promossa dalla Provincia autonoma di Bolzano in collaborazione e a cura del Museo Nazionale Etrusco di Villa Giulia in Roma.</w:t>
      </w: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B51CB" w:rsidRDefault="000D7738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Link per scaricare </w:t>
      </w:r>
      <w:hyperlink r:id="rId7">
        <w:r>
          <w:rPr>
            <w:color w:val="0000EE"/>
            <w:u w:val="single"/>
          </w:rPr>
          <w:t>Immagini e didascalie</w:t>
        </w:r>
      </w:hyperlink>
      <w:r>
        <w:rPr>
          <w:color w:val="0000EE"/>
          <w:u w:val="single"/>
        </w:rPr>
        <w:t xml:space="preserve"> 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e </w:t>
      </w:r>
      <w:hyperlink r:id="rId8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www.studioesseci.net</w:t>
        </w:r>
      </w:hyperlink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Nella mostra sugli Etruschi al Trevi</w:t>
      </w: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</w:t>
      </w:r>
      <w:r>
        <w:rPr>
          <w:rFonts w:ascii="Cambria" w:eastAsia="Cambria" w:hAnsi="Cambria" w:cs="Cambria"/>
          <w:b/>
          <w:sz w:val="24"/>
          <w:szCs w:val="24"/>
        </w:rPr>
        <w:t>che un fegato per la divinazione.</w:t>
      </w: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 la mostra “Etruschi. Artisti e artigiani”, al Centro Trevi-</w:t>
      </w:r>
      <w:proofErr w:type="spellStart"/>
      <w:r>
        <w:rPr>
          <w:rFonts w:ascii="Cambria" w:eastAsia="Cambria" w:hAnsi="Cambria" w:cs="Cambria"/>
          <w:sz w:val="24"/>
          <w:szCs w:val="24"/>
        </w:rPr>
        <w:t>Trevilab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 Bolzano dal 24 ottobre al 2 febbraio, viene annunciata la presenza di un reperto di grande fascino: il cosiddetto “Fegato di Piacenza”.</w:t>
      </w: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“Etruschi.</w:t>
      </w:r>
      <w:r>
        <w:rPr>
          <w:rFonts w:ascii="Cambria" w:eastAsia="Cambria" w:hAnsi="Cambria" w:cs="Cambria"/>
          <w:sz w:val="24"/>
          <w:szCs w:val="24"/>
        </w:rPr>
        <w:t xml:space="preserve"> Artisti e artigiani” è promossa dalla Provincia autonoma di Bolzano, Cultura italiana, grazie alla collaborazione del Museo Nazionale Etrusco di Villa Giulia in Roma, diretto da Luana Toniolo, ed è curata da Valentina Belfiore e Maria Paola </w:t>
      </w:r>
      <w:proofErr w:type="spellStart"/>
      <w:r>
        <w:rPr>
          <w:rFonts w:ascii="Cambria" w:eastAsia="Cambria" w:hAnsi="Cambria" w:cs="Cambria"/>
          <w:sz w:val="24"/>
          <w:szCs w:val="24"/>
        </w:rPr>
        <w:t>Guidobaldi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</w:t>
      </w:r>
      <w:r>
        <w:rPr>
          <w:rFonts w:ascii="Cambria" w:eastAsia="Cambria" w:hAnsi="Cambria" w:cs="Cambria"/>
          <w:sz w:val="24"/>
          <w:szCs w:val="24"/>
        </w:rPr>
        <w:t xml:space="preserve"> team </w:t>
      </w:r>
      <w:proofErr w:type="spellStart"/>
      <w:r>
        <w:rPr>
          <w:rFonts w:ascii="Cambria" w:eastAsia="Cambria" w:hAnsi="Cambria" w:cs="Cambria"/>
          <w:sz w:val="24"/>
          <w:szCs w:val="24"/>
        </w:rPr>
        <w:t>curatoriale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museo.</w:t>
      </w: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“Fegato di Piacenza” rappresenta una testimonianza eccezionale delle pratiche legate al culto per le quali gli Etruschi erano famosi, tanto che i servizi degli aruspici etruschi erano richiesti anche dai superstiziosi Romani</w:t>
      </w:r>
      <w:r>
        <w:rPr>
          <w:rFonts w:ascii="Cambria" w:eastAsia="Cambria" w:hAnsi="Cambria" w:cs="Cambria"/>
          <w:sz w:val="24"/>
          <w:szCs w:val="24"/>
        </w:rPr>
        <w:t xml:space="preserve">. L’organo usato per la “epatoscopia” era di animale, solitamente di pecora, e veniva analizzato dopo il sacrificio della vittima nella convinzione che vi fosse una stretta connessione fra l’organo consultato </w:t>
      </w:r>
      <w:proofErr w:type="gramStart"/>
      <w:r>
        <w:rPr>
          <w:rFonts w:ascii="Cambria" w:eastAsia="Cambria" w:hAnsi="Cambria" w:cs="Cambria"/>
          <w:sz w:val="24"/>
          <w:szCs w:val="24"/>
        </w:rPr>
        <w:t>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l’ordine cosmico.</w:t>
      </w: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Un altro esempio di fegato </w:t>
      </w:r>
      <w:r>
        <w:rPr>
          <w:rFonts w:ascii="Cambria" w:eastAsia="Cambria" w:hAnsi="Cambria" w:cs="Cambria"/>
          <w:sz w:val="24"/>
          <w:szCs w:val="24"/>
        </w:rPr>
        <w:t xml:space="preserve">animale proveniente dall’Etruria è quello in terracotta ritrovato fra le rovine del Tempio di </w:t>
      </w:r>
      <w:proofErr w:type="spellStart"/>
      <w:r>
        <w:rPr>
          <w:rFonts w:ascii="Cambria" w:eastAsia="Cambria" w:hAnsi="Cambria" w:cs="Cambria"/>
          <w:sz w:val="24"/>
          <w:szCs w:val="24"/>
        </w:rPr>
        <w:t>Falerii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Veteres</w:t>
      </w:r>
      <w:proofErr w:type="spellEnd"/>
      <w:r>
        <w:rPr>
          <w:rFonts w:ascii="Cambria" w:eastAsia="Cambria" w:hAnsi="Cambria" w:cs="Cambria"/>
          <w:sz w:val="24"/>
          <w:szCs w:val="24"/>
        </w:rPr>
        <w:t>, a Civita Castellana, in provincia di Viterbo, oggi custodito fra i tesori del Museo Nazionale Etrusco di Villa Giulia a Roma, dal quale provengon</w:t>
      </w:r>
      <w:r>
        <w:rPr>
          <w:rFonts w:ascii="Cambria" w:eastAsia="Cambria" w:hAnsi="Cambria" w:cs="Cambria"/>
          <w:sz w:val="24"/>
          <w:szCs w:val="24"/>
        </w:rPr>
        <w:t>o le opere della mostra di Bolzano. Questo fegato poteva rappresentare un ex voto, peraltro insolito, dedicato nel tempio.</w:t>
      </w: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 più prezioso ancora è il fegato in bronzo di Piacenza, che un contadino trovò nel suo campo in località </w:t>
      </w:r>
      <w:proofErr w:type="spellStart"/>
      <w:r>
        <w:rPr>
          <w:rFonts w:ascii="Cambria" w:eastAsia="Cambria" w:hAnsi="Cambria" w:cs="Cambria"/>
          <w:sz w:val="24"/>
          <w:szCs w:val="24"/>
        </w:rPr>
        <w:t>Ciavernasco</w:t>
      </w:r>
      <w:proofErr w:type="spellEnd"/>
      <w:r>
        <w:rPr>
          <w:rFonts w:ascii="Cambria" w:eastAsia="Cambria" w:hAnsi="Cambria" w:cs="Cambria"/>
          <w:sz w:val="24"/>
          <w:szCs w:val="24"/>
        </w:rPr>
        <w:t>, nel comune di Gossolengo in provincia di Piacenza. È possibile che questo fegato avesse un’identica funzione votiva, ma non è da esclude</w:t>
      </w:r>
      <w:r>
        <w:rPr>
          <w:rFonts w:ascii="Cambria" w:eastAsia="Cambria" w:hAnsi="Cambria" w:cs="Cambria"/>
          <w:sz w:val="24"/>
          <w:szCs w:val="24"/>
        </w:rPr>
        <w:t>re che fosse usato come uno strumento “scientifico” o, se vogliamo, “didattico” per la consultazione delle viscere. La faccia superiore mostra infatti delle sporgenze più o meno pronunciate a imitazione del fegato animale, insieme a linee e nomi incisi. Ci</w:t>
      </w:r>
      <w:r>
        <w:rPr>
          <w:rFonts w:ascii="Cambria" w:eastAsia="Cambria" w:hAnsi="Cambria" w:cs="Cambria"/>
          <w:sz w:val="24"/>
          <w:szCs w:val="24"/>
        </w:rPr>
        <w:t xml:space="preserve">ascuno dei </w:t>
      </w:r>
      <w:r>
        <w:rPr>
          <w:rFonts w:ascii="Cambria" w:eastAsia="Cambria" w:hAnsi="Cambria" w:cs="Cambria"/>
          <w:sz w:val="24"/>
          <w:szCs w:val="24"/>
        </w:rPr>
        <w:lastRenderedPageBreak/>
        <w:t>settori così delineati viene indicato con il nome di una divinità, sul modello del “tempio celeste”, funzionale per l’interpretazione dei segni o dei prodigi.</w:t>
      </w: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Trevi, nella sezione dedicata a “la sfera del sacro: dediche, luoghi e offerte di c</w:t>
      </w:r>
      <w:r>
        <w:rPr>
          <w:rFonts w:ascii="Cambria" w:eastAsia="Cambria" w:hAnsi="Cambria" w:cs="Cambria"/>
          <w:sz w:val="24"/>
          <w:szCs w:val="24"/>
        </w:rPr>
        <w:t>ulto, pratiche divinatorie” la scelta delle curatrici della mostra è stata quella di dare spazio proprio a questo secondo fegato, il cui originale è conservato ed esposto nella sezione archeologica dei Musei Civici di Palazzo Farnese di Piacenza, ma di cui</w:t>
      </w:r>
      <w:r>
        <w:rPr>
          <w:rFonts w:ascii="Cambria" w:eastAsia="Cambria" w:hAnsi="Cambria" w:cs="Cambria"/>
          <w:sz w:val="24"/>
          <w:szCs w:val="24"/>
        </w:rPr>
        <w:t xml:space="preserve"> il Museo di Villa Giulia possiede una copia fedele in resina.   </w:t>
      </w: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B51CB" w:rsidRDefault="000D773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Centro Trevi/</w:t>
      </w:r>
      <w:proofErr w:type="spellStart"/>
      <w:r>
        <w:rPr>
          <w:rFonts w:ascii="Cambria" w:eastAsia="Cambria" w:hAnsi="Cambria" w:cs="Cambria"/>
          <w:sz w:val="24"/>
          <w:szCs w:val="24"/>
        </w:rPr>
        <w:t>Trevilab</w:t>
      </w:r>
      <w:proofErr w:type="spellEnd"/>
      <w:r>
        <w:rPr>
          <w:rFonts w:ascii="Cambria" w:eastAsia="Cambria" w:hAnsi="Cambria" w:cs="Cambria"/>
          <w:sz w:val="24"/>
          <w:szCs w:val="24"/>
        </w:rPr>
        <w:t>: https://www.provincia.bz.it/arte-cultura/cultura/centro-</w:t>
      </w:r>
    </w:p>
    <w:p w:rsidR="002B51CB" w:rsidRDefault="000D773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trevi.asp è uno spazio guidato dal direttore di ripartizione </w:t>
      </w:r>
      <w:r>
        <w:rPr>
          <w:rFonts w:ascii="Cambria" w:eastAsia="Cambria" w:hAnsi="Cambria" w:cs="Cambria"/>
          <w:b/>
          <w:sz w:val="24"/>
          <w:szCs w:val="24"/>
        </w:rPr>
        <w:t xml:space="preserve">Antonio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Lampis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nel quale si</w:t>
      </w:r>
    </w:p>
    <w:p w:rsidR="002B51CB" w:rsidRDefault="000D773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sono sviluppati,</w:t>
      </w:r>
      <w:r>
        <w:rPr>
          <w:rFonts w:ascii="Cambria" w:eastAsia="Cambria" w:hAnsi="Cambria" w:cs="Cambria"/>
          <w:sz w:val="24"/>
          <w:szCs w:val="24"/>
        </w:rPr>
        <w:t xml:space="preserve"> per decenni, iniziative rivolte alla comprensione dell’arte e che oggi</w:t>
      </w:r>
    </w:p>
    <w:p w:rsidR="002B51CB" w:rsidRDefault="000D773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mira a mantenere sempre vivo l’interesse verso la cultura e il ricco patrimonio artistico</w:t>
      </w:r>
    </w:p>
    <w:p w:rsidR="002B51CB" w:rsidRDefault="000D773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conservato nei grandi musei italiani,” come sottolineato da </w:t>
      </w:r>
      <w:r>
        <w:rPr>
          <w:rFonts w:ascii="Cambria" w:eastAsia="Cambria" w:hAnsi="Cambria" w:cs="Cambria"/>
          <w:b/>
          <w:sz w:val="24"/>
          <w:szCs w:val="24"/>
        </w:rPr>
        <w:t>Marco Galateo</w:t>
      </w:r>
      <w:r>
        <w:rPr>
          <w:rFonts w:ascii="Cambria" w:eastAsia="Cambria" w:hAnsi="Cambria" w:cs="Cambria"/>
          <w:sz w:val="24"/>
          <w:szCs w:val="24"/>
        </w:rPr>
        <w:t>,</w:t>
      </w:r>
    </w:p>
    <w:p w:rsidR="002B51CB" w:rsidRDefault="000D773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vicepresidente dell</w:t>
      </w:r>
      <w:r>
        <w:rPr>
          <w:rFonts w:ascii="Cambria" w:eastAsia="Cambria" w:hAnsi="Cambria" w:cs="Cambria"/>
          <w:sz w:val="24"/>
          <w:szCs w:val="24"/>
        </w:rPr>
        <w:t>a Provincia e assessore alla Cultura italiana.</w:t>
      </w:r>
    </w:p>
    <w:p w:rsidR="002B51CB" w:rsidRDefault="002B51CB">
      <w:pPr>
        <w:jc w:val="both"/>
        <w:rPr>
          <w:rFonts w:ascii="Cambria" w:eastAsia="Cambria" w:hAnsi="Cambria" w:cs="Cambria"/>
          <w:sz w:val="24"/>
          <w:szCs w:val="24"/>
        </w:rPr>
      </w:pP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Info: </w:t>
      </w:r>
      <w:r>
        <w:rPr>
          <w:rFonts w:ascii="Cambria" w:eastAsia="Cambria" w:hAnsi="Cambria" w:cs="Cambria"/>
          <w:sz w:val="24"/>
          <w:szCs w:val="24"/>
        </w:rPr>
        <w:t>www.provincia.bz.it/arte-cultura/cultura/centro-trevi.asp</w:t>
      </w: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2B51CB" w:rsidRDefault="000D7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Ufficio Stampa</w:t>
      </w:r>
    </w:p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Style w:val="a4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2B51CB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CB" w:rsidRDefault="000D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MondoMostre</w:t>
            </w:r>
            <w:proofErr w:type="spellEnd"/>
          </w:p>
          <w:p w:rsidR="002B51CB" w:rsidRDefault="000D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Studio ESSECI di Sergio Campagnolo</w:t>
            </w:r>
          </w:p>
          <w:p w:rsidR="002B51CB" w:rsidRDefault="000D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+39 049 663499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CB" w:rsidRDefault="000D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Per Provincia Autonoma di Bolzano</w:t>
            </w:r>
          </w:p>
          <w:p w:rsidR="002B51CB" w:rsidRDefault="000D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Ilaria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Vinante</w:t>
            </w:r>
            <w:proofErr w:type="spellEnd"/>
          </w:p>
          <w:p w:rsidR="002B51CB" w:rsidRDefault="000D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Tel. +39 338 5969685</w:t>
            </w:r>
          </w:p>
          <w:p w:rsidR="002B51CB" w:rsidRDefault="000D7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hyperlink r:id="rId9">
              <w:r>
                <w:rPr>
                  <w:rFonts w:ascii="Cambria" w:eastAsia="Cambria" w:hAnsi="Cambria" w:cs="Cambria"/>
                  <w:color w:val="0000FF"/>
                  <w:sz w:val="24"/>
                  <w:szCs w:val="24"/>
                  <w:u w:val="single"/>
                </w:rPr>
                <w:t>vinante.ila@gmail.com</w:t>
              </w:r>
            </w:hyperlink>
          </w:p>
        </w:tc>
      </w:tr>
    </w:tbl>
    <w:p w:rsidR="002B51CB" w:rsidRDefault="002B51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B51C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7738">
      <w:pPr>
        <w:spacing w:line="240" w:lineRule="auto"/>
      </w:pPr>
      <w:r>
        <w:separator/>
      </w:r>
    </w:p>
  </w:endnote>
  <w:endnote w:type="continuationSeparator" w:id="0">
    <w:p w:rsidR="00000000" w:rsidRDefault="000D7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CB" w:rsidRDefault="000D7738">
    <w:pPr>
      <w:rPr>
        <w:color w:val="000000"/>
      </w:rPr>
    </w:pPr>
    <w:r>
      <w:rPr>
        <w:noProof/>
        <w:lang w:val="it-IT"/>
      </w:rPr>
      <w:drawing>
        <wp:inline distT="114300" distB="114300" distL="114300" distR="114300">
          <wp:extent cx="5731200" cy="850900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7738">
      <w:pPr>
        <w:spacing w:line="240" w:lineRule="auto"/>
      </w:pPr>
      <w:r>
        <w:separator/>
      </w:r>
    </w:p>
  </w:footnote>
  <w:footnote w:type="continuationSeparator" w:id="0">
    <w:p w:rsidR="00000000" w:rsidRDefault="000D7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CB" w:rsidRDefault="000D773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it-IT"/>
      </w:rPr>
      <w:drawing>
        <wp:inline distT="114300" distB="114300" distL="114300" distR="114300">
          <wp:extent cx="5731200" cy="99060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CB"/>
    <w:rsid w:val="000D7738"/>
    <w:rsid w:val="002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B68B"/>
  <w15:docId w15:val="{E299A0D6-ACA7-44D8-AC01-57B14578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2"/>
    <w:next w:val="Normal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2"/>
    <w:next w:val="Normal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2"/>
    <w:next w:val="Normal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2"/>
    <w:next w:val="Normal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2"/>
    <w:next w:val="Normale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2"/>
    <w:next w:val="Normal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13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13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1013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13B"/>
  </w:style>
  <w:style w:type="paragraph" w:styleId="Pidipagina">
    <w:name w:val="footer"/>
    <w:basedOn w:val="Normale"/>
    <w:link w:val="PidipaginaCarattere"/>
    <w:uiPriority w:val="99"/>
    <w:unhideWhenUsed/>
    <w:rsid w:val="00D1013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13B"/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esseci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FwaUY3x2SmmIoso9NloauqWHlknxnnU0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nante.i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G6EVOAQJorCf3YCbjrFKp8sxg==">CgMxLjA4AHIhMUF0RVlERjJFTmc3OG1KRUoxNDY2QWo1ME5OM1o4bzFm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Company>HP Inc.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belfiore</dc:creator>
  <cp:lastModifiedBy>Roberta -Studio ESSECI</cp:lastModifiedBy>
  <cp:revision>2</cp:revision>
  <dcterms:created xsi:type="dcterms:W3CDTF">2024-07-29T13:40:00Z</dcterms:created>
  <dcterms:modified xsi:type="dcterms:W3CDTF">2024-08-20T09:08:00Z</dcterms:modified>
</cp:coreProperties>
</file>