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CC9DC" w14:textId="38C322B0" w:rsidR="25E73F0D" w:rsidRPr="00207C73" w:rsidRDefault="25E73F0D" w:rsidP="43F0C531">
      <w:pPr>
        <w:spacing w:after="0" w:line="240" w:lineRule="auto"/>
        <w:jc w:val="center"/>
        <w:rPr>
          <w:rFonts w:ascii="Apercu" w:eastAsia="Apercu" w:hAnsi="Apercu" w:cs="Apercu"/>
          <w:b/>
          <w:bCs/>
          <w:sz w:val="24"/>
          <w:szCs w:val="24"/>
          <w:lang w:val="it-IT"/>
        </w:rPr>
      </w:pPr>
      <w:proofErr w:type="gramStart"/>
      <w:r w:rsidRPr="00207C73">
        <w:rPr>
          <w:rFonts w:ascii="Apercu" w:eastAsia="Apercu" w:hAnsi="Apercu" w:cs="Apercu"/>
          <w:b/>
          <w:bCs/>
          <w:sz w:val="24"/>
          <w:szCs w:val="24"/>
          <w:lang w:val="it-IT"/>
        </w:rPr>
        <w:t>TEFAF  Maastricht</w:t>
      </w:r>
      <w:proofErr w:type="gramEnd"/>
      <w:r w:rsidRPr="00207C73">
        <w:rPr>
          <w:rFonts w:ascii="Apercu" w:eastAsia="Apercu" w:hAnsi="Apercu" w:cs="Apercu"/>
          <w:b/>
          <w:bCs/>
          <w:sz w:val="24"/>
          <w:szCs w:val="24"/>
          <w:lang w:val="it-IT"/>
        </w:rPr>
        <w:t xml:space="preserve"> annuncia </w:t>
      </w:r>
      <w:r w:rsidR="00207C73">
        <w:rPr>
          <w:rFonts w:ascii="Apercu" w:eastAsia="Apercu" w:hAnsi="Apercu" w:cs="Apercu"/>
          <w:b/>
          <w:bCs/>
          <w:sz w:val="24"/>
          <w:szCs w:val="24"/>
          <w:lang w:val="it-IT"/>
        </w:rPr>
        <w:t xml:space="preserve">il TEFAF Museum </w:t>
      </w:r>
      <w:proofErr w:type="spellStart"/>
      <w:r w:rsidR="00207C73">
        <w:rPr>
          <w:rFonts w:ascii="Apercu" w:eastAsia="Apercu" w:hAnsi="Apercu" w:cs="Apercu"/>
          <w:b/>
          <w:bCs/>
          <w:sz w:val="24"/>
          <w:szCs w:val="24"/>
          <w:lang w:val="it-IT"/>
        </w:rPr>
        <w:t>Restoration</w:t>
      </w:r>
      <w:proofErr w:type="spellEnd"/>
      <w:r w:rsidR="00207C73">
        <w:rPr>
          <w:rFonts w:ascii="Apercu" w:eastAsia="Apercu" w:hAnsi="Apercu" w:cs="Apercu"/>
          <w:b/>
          <w:bCs/>
          <w:sz w:val="24"/>
          <w:szCs w:val="24"/>
          <w:lang w:val="it-IT"/>
        </w:rPr>
        <w:t xml:space="preserve"> Fund </w:t>
      </w:r>
      <w:r w:rsidR="00207C73" w:rsidRPr="00207C73">
        <w:rPr>
          <w:rFonts w:ascii="Apercu" w:eastAsia="Apercu" w:hAnsi="Apercu" w:cs="Apercu"/>
          <w:b/>
          <w:bCs/>
          <w:sz w:val="24"/>
          <w:szCs w:val="24"/>
          <w:lang w:val="it-IT"/>
        </w:rPr>
        <w:t>2025</w:t>
      </w:r>
      <w:r w:rsidR="00207C73">
        <w:rPr>
          <w:rFonts w:ascii="Apercu" w:eastAsia="Apercu" w:hAnsi="Apercu" w:cs="Apercu"/>
          <w:b/>
          <w:bCs/>
          <w:sz w:val="24"/>
          <w:szCs w:val="24"/>
          <w:lang w:val="it-IT"/>
        </w:rPr>
        <w:t xml:space="preserve"> </w:t>
      </w:r>
    </w:p>
    <w:p w14:paraId="4152A583" w14:textId="15341408" w:rsidR="25E73F0D" w:rsidRPr="00207C73" w:rsidRDefault="00207C73" w:rsidP="43F0C531">
      <w:pPr>
        <w:spacing w:after="0" w:line="240" w:lineRule="auto"/>
        <w:jc w:val="center"/>
        <w:rPr>
          <w:rFonts w:ascii="Apercu" w:eastAsia="Apercu" w:hAnsi="Apercu" w:cs="Apercu"/>
          <w:b/>
          <w:bCs/>
          <w:sz w:val="24"/>
          <w:szCs w:val="24"/>
          <w:lang w:val="fr-FR"/>
        </w:rPr>
      </w:pPr>
      <w:r w:rsidRPr="00207C73">
        <w:rPr>
          <w:rFonts w:ascii="Apercu" w:eastAsia="Apercu" w:hAnsi="Apercu" w:cs="Apercu"/>
          <w:b/>
          <w:bCs/>
          <w:sz w:val="24"/>
          <w:szCs w:val="24"/>
          <w:lang w:val="fr-FR"/>
        </w:rPr>
        <w:t xml:space="preserve">Ne </w:t>
      </w:r>
      <w:proofErr w:type="spellStart"/>
      <w:r w:rsidRPr="00207C73">
        <w:rPr>
          <w:rFonts w:ascii="Apercu" w:eastAsia="Apercu" w:hAnsi="Apercu" w:cs="Apercu"/>
          <w:b/>
          <w:bCs/>
          <w:sz w:val="24"/>
          <w:szCs w:val="24"/>
          <w:lang w:val="fr-FR"/>
        </w:rPr>
        <w:t>beneficierà</w:t>
      </w:r>
      <w:proofErr w:type="spellEnd"/>
      <w:r w:rsidRPr="00207C73">
        <w:rPr>
          <w:rFonts w:ascii="Apercu" w:eastAsia="Apercu" w:hAnsi="Apercu" w:cs="Apercu"/>
          <w:b/>
          <w:bCs/>
          <w:sz w:val="24"/>
          <w:szCs w:val="24"/>
          <w:lang w:val="fr-FR"/>
        </w:rPr>
        <w:t xml:space="preserve"> i</w:t>
      </w:r>
      <w:r w:rsidR="25E73F0D" w:rsidRPr="00207C73">
        <w:rPr>
          <w:rFonts w:ascii="Apercu" w:eastAsia="Apercu" w:hAnsi="Apercu" w:cs="Apercu"/>
          <w:b/>
          <w:bCs/>
          <w:sz w:val="24"/>
          <w:szCs w:val="24"/>
          <w:lang w:val="fr-FR"/>
        </w:rPr>
        <w:t>l Musée Condé, Château de Chantilly</w:t>
      </w:r>
    </w:p>
    <w:p w14:paraId="192FE9C4" w14:textId="6B13972B" w:rsidR="00567F89" w:rsidRPr="00207C73" w:rsidRDefault="00567F89" w:rsidP="4858AD89">
      <w:pPr>
        <w:spacing w:after="0" w:line="240" w:lineRule="auto"/>
        <w:jc w:val="center"/>
        <w:rPr>
          <w:rFonts w:ascii="Apercu" w:eastAsia="Apercu" w:hAnsi="Apercu" w:cs="Apercu"/>
          <w:b/>
          <w:bCs/>
          <w:sz w:val="24"/>
          <w:szCs w:val="24"/>
          <w:lang w:val="fr-FR"/>
        </w:rPr>
      </w:pPr>
    </w:p>
    <w:p w14:paraId="060B4838" w14:textId="1B2E3166" w:rsidR="00567F89" w:rsidRPr="00207C73" w:rsidRDefault="5DA729B9" w:rsidP="4858AD89">
      <w:pPr>
        <w:spacing w:after="0" w:line="240" w:lineRule="auto"/>
        <w:jc w:val="center"/>
        <w:rPr>
          <w:rFonts w:ascii="Apercu" w:eastAsia="Apercu" w:hAnsi="Apercu" w:cs="Apercu"/>
          <w:b/>
          <w:bCs/>
          <w:sz w:val="24"/>
          <w:szCs w:val="24"/>
          <w:lang w:val="it-IT"/>
        </w:rPr>
      </w:pPr>
      <w:r w:rsidRPr="000E295C">
        <w:rPr>
          <w:rFonts w:ascii="Apercu" w:eastAsia="Apercu" w:hAnsi="Apercu" w:cs="Apercu"/>
          <w:b/>
          <w:bCs/>
          <w:sz w:val="24"/>
          <w:szCs w:val="24"/>
          <w:lang w:val="nl-NL"/>
        </w:rPr>
        <w:t xml:space="preserve">TEFAF Maastricht si svolge dal 15 al 20 marzo 2025 </w:t>
      </w:r>
      <w:r w:rsidR="3BEDC094" w:rsidRPr="000E295C">
        <w:rPr>
          <w:rFonts w:ascii="Apercu" w:eastAsia="Apercu" w:hAnsi="Apercu" w:cs="Apercu"/>
          <w:b/>
          <w:bCs/>
          <w:sz w:val="24"/>
          <w:szCs w:val="24"/>
          <w:lang w:val="nl-NL"/>
        </w:rPr>
        <w:t xml:space="preserve">(13 e 14 marzo </w:t>
      </w:r>
      <w:r w:rsidR="3BEDC094" w:rsidRPr="00207C73">
        <w:rPr>
          <w:rFonts w:ascii="Apercu" w:eastAsia="Apercu" w:hAnsi="Apercu" w:cs="Apercu"/>
          <w:b/>
          <w:bCs/>
          <w:sz w:val="24"/>
          <w:szCs w:val="24"/>
          <w:lang w:val="it-IT"/>
        </w:rPr>
        <w:t xml:space="preserve">solo </w:t>
      </w:r>
      <w:r w:rsidR="3BEDC094" w:rsidRPr="000E295C">
        <w:rPr>
          <w:rFonts w:ascii="Apercu" w:eastAsia="Apercu" w:hAnsi="Apercu" w:cs="Apercu"/>
          <w:b/>
          <w:bCs/>
          <w:sz w:val="24"/>
          <w:szCs w:val="24"/>
          <w:lang w:val="nl-NL"/>
        </w:rPr>
        <w:t xml:space="preserve">su </w:t>
      </w:r>
      <w:r w:rsidR="3BEDC094" w:rsidRPr="00207C73">
        <w:rPr>
          <w:rFonts w:ascii="Apercu" w:eastAsia="Apercu" w:hAnsi="Apercu" w:cs="Apercu"/>
          <w:b/>
          <w:bCs/>
          <w:sz w:val="24"/>
          <w:szCs w:val="24"/>
          <w:lang w:val="it-IT"/>
        </w:rPr>
        <w:t>invito).</w:t>
      </w:r>
    </w:p>
    <w:p w14:paraId="394332D6" w14:textId="2C9BC5B7" w:rsidR="00567F89" w:rsidRPr="00207C73" w:rsidRDefault="00567F89" w:rsidP="4858AD89">
      <w:pPr>
        <w:spacing w:after="0" w:line="240" w:lineRule="auto"/>
        <w:jc w:val="center"/>
        <w:rPr>
          <w:rFonts w:ascii="Apercu" w:eastAsia="Apercu" w:hAnsi="Apercu" w:cs="Apercu"/>
          <w:b/>
          <w:bCs/>
          <w:sz w:val="24"/>
          <w:szCs w:val="24"/>
          <w:lang w:val="it-IT"/>
        </w:rPr>
      </w:pPr>
    </w:p>
    <w:p w14:paraId="763DEFFF" w14:textId="2D65FE0D" w:rsidR="006164F2" w:rsidRPr="00207C73" w:rsidRDefault="137D807E" w:rsidP="43F0C531">
      <w:pPr>
        <w:spacing w:after="0" w:line="240" w:lineRule="auto"/>
        <w:jc w:val="center"/>
        <w:rPr>
          <w:rFonts w:ascii="Apercu" w:eastAsia="Apercu" w:hAnsi="Apercu" w:cs="Apercu"/>
          <w:b/>
          <w:bCs/>
          <w:lang w:val="it-IT"/>
        </w:rPr>
      </w:pPr>
      <w:r>
        <w:rPr>
          <w:noProof/>
        </w:rPr>
        <w:drawing>
          <wp:inline distT="0" distB="0" distL="0" distR="0" wp14:anchorId="55C4E94F" wp14:editId="7B2AAB91">
            <wp:extent cx="5943600" cy="2688590"/>
            <wp:effectExtent l="0" t="0" r="0" b="3810"/>
            <wp:docPr id="1309250426" name="Picture 3" descr="A group of painting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8AE730" w:rsidRPr="00207C73">
        <w:rPr>
          <w:rFonts w:ascii="Apercu" w:eastAsia="Apercu" w:hAnsi="Apercu" w:cs="Apercu"/>
          <w:color w:val="000000" w:themeColor="text1"/>
          <w:lang w:val="it-IT"/>
        </w:rPr>
        <w:t xml:space="preserve">Immagine per gentile concessione di RMN-Grand Palais - </w:t>
      </w:r>
      <w:proofErr w:type="spellStart"/>
      <w:r w:rsidR="6E8AE730" w:rsidRPr="00207C73">
        <w:rPr>
          <w:rFonts w:ascii="Apercu" w:eastAsia="Apercu" w:hAnsi="Apercu" w:cs="Apercu"/>
          <w:color w:val="000000" w:themeColor="text1"/>
          <w:lang w:val="it-IT"/>
        </w:rPr>
        <w:t>Domaine</w:t>
      </w:r>
      <w:proofErr w:type="spellEnd"/>
      <w:r w:rsidR="6E8AE730" w:rsidRPr="00207C73">
        <w:rPr>
          <w:rFonts w:ascii="Apercu" w:eastAsia="Apercu" w:hAnsi="Apercu" w:cs="Apercu"/>
          <w:color w:val="000000" w:themeColor="text1"/>
          <w:lang w:val="it-IT"/>
        </w:rPr>
        <w:t xml:space="preserve"> de Chantilly - Michel </w:t>
      </w:r>
      <w:proofErr w:type="spellStart"/>
      <w:r w:rsidR="6E8AE730" w:rsidRPr="00207C73">
        <w:rPr>
          <w:rFonts w:ascii="Apercu" w:eastAsia="Apercu" w:hAnsi="Apercu" w:cs="Apercu"/>
          <w:color w:val="000000" w:themeColor="text1"/>
          <w:lang w:val="it-IT"/>
        </w:rPr>
        <w:t>Urtado</w:t>
      </w:r>
      <w:proofErr w:type="spellEnd"/>
    </w:p>
    <w:p w14:paraId="35D25C33" w14:textId="3BB6576B" w:rsidR="006164F2" w:rsidRPr="00207C73" w:rsidRDefault="006164F2" w:rsidP="4858AD89">
      <w:pPr>
        <w:spacing w:after="0" w:line="240" w:lineRule="auto"/>
        <w:jc w:val="center"/>
        <w:rPr>
          <w:rFonts w:ascii="Apercu" w:eastAsia="Apercu" w:hAnsi="Apercu" w:cs="Apercu"/>
          <w:b/>
          <w:bCs/>
          <w:lang w:val="it-IT"/>
        </w:rPr>
      </w:pPr>
    </w:p>
    <w:p w14:paraId="0379DF9B" w14:textId="77777777" w:rsidR="007B679E" w:rsidRPr="00207C73" w:rsidRDefault="007B679E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1040C254" w14:textId="0D734241" w:rsidR="007B679E" w:rsidRPr="00207C73" w:rsidRDefault="44143257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Maastricht, Paesi Bassi - 22 gennaio 2025: La </w:t>
      </w:r>
      <w:proofErr w:type="spellStart"/>
      <w:r w:rsidRPr="00207C73">
        <w:rPr>
          <w:rFonts w:ascii="Apercu" w:eastAsia="Apercu" w:hAnsi="Apercu" w:cs="Apercu"/>
          <w:lang w:val="it-IT"/>
        </w:rPr>
        <w:t>European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Fine Art Foundation (TEFAF) ha annunciato che il </w:t>
      </w:r>
      <w:r w:rsidRPr="00207C73">
        <w:rPr>
          <w:rFonts w:ascii="Apercu" w:eastAsia="Apercu" w:hAnsi="Apercu" w:cs="Apercu"/>
          <w:b/>
          <w:bCs/>
          <w:lang w:val="it-IT"/>
        </w:rPr>
        <w:t xml:space="preserve">Musée Condé, Château de Chantilly, </w:t>
      </w:r>
      <w:r w:rsidRPr="00207C73">
        <w:rPr>
          <w:rFonts w:ascii="Apercu" w:eastAsia="Apercu" w:hAnsi="Apercu" w:cs="Apercu"/>
          <w:lang w:val="it-IT"/>
        </w:rPr>
        <w:t xml:space="preserve">è il destinatario del TEFAF Museum </w:t>
      </w:r>
      <w:proofErr w:type="spellStart"/>
      <w:r w:rsidRPr="00207C73">
        <w:rPr>
          <w:rFonts w:ascii="Apercu" w:eastAsia="Apercu" w:hAnsi="Apercu" w:cs="Apercu"/>
          <w:lang w:val="it-IT"/>
        </w:rPr>
        <w:t>Restoration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Fund (TMRF</w:t>
      </w:r>
      <w:r w:rsidR="2B1447EC" w:rsidRPr="00207C73">
        <w:rPr>
          <w:rFonts w:ascii="Apercu" w:eastAsia="Apercu" w:hAnsi="Apercu" w:cs="Apercu"/>
          <w:lang w:val="it-IT"/>
        </w:rPr>
        <w:t xml:space="preserve">) </w:t>
      </w:r>
      <w:r w:rsidRPr="00207C73">
        <w:rPr>
          <w:rFonts w:ascii="Apercu" w:eastAsia="Apercu" w:hAnsi="Apercu" w:cs="Apercu"/>
          <w:lang w:val="it-IT"/>
        </w:rPr>
        <w:t xml:space="preserve">di quest'anno </w:t>
      </w:r>
      <w:r w:rsidR="43EDF561" w:rsidRPr="00207C73">
        <w:rPr>
          <w:rFonts w:ascii="Apercu" w:eastAsia="Apercu" w:hAnsi="Apercu" w:cs="Apercu"/>
          <w:lang w:val="it-IT"/>
        </w:rPr>
        <w:t>a Maastricht</w:t>
      </w:r>
      <w:r w:rsidR="114EC88C" w:rsidRPr="00207C73">
        <w:rPr>
          <w:rFonts w:ascii="Apercu" w:eastAsia="Apercu" w:hAnsi="Apercu" w:cs="Apercu"/>
          <w:lang w:val="it-IT"/>
        </w:rPr>
        <w:t>. Quest</w:t>
      </w:r>
      <w:r w:rsidR="00207C73">
        <w:rPr>
          <w:rFonts w:ascii="Apercu" w:eastAsia="Apercu" w:hAnsi="Apercu" w:cs="Apercu"/>
          <w:lang w:val="it-IT"/>
        </w:rPr>
        <w:t>o contributo</w:t>
      </w:r>
      <w:r w:rsidRPr="00207C73">
        <w:rPr>
          <w:rFonts w:ascii="Apercu" w:eastAsia="Apercu" w:hAnsi="Apercu" w:cs="Apercu"/>
          <w:lang w:val="it-IT"/>
        </w:rPr>
        <w:t xml:space="preserve"> annuale</w:t>
      </w:r>
      <w:r w:rsidR="114EC88C" w:rsidRPr="00207C73">
        <w:rPr>
          <w:rFonts w:ascii="Apercu" w:eastAsia="Apercu" w:hAnsi="Apercu" w:cs="Apercu"/>
          <w:lang w:val="it-IT"/>
        </w:rPr>
        <w:t xml:space="preserve">, </w:t>
      </w:r>
      <w:r w:rsidRPr="00207C73">
        <w:rPr>
          <w:rFonts w:ascii="Apercu" w:eastAsia="Apercu" w:hAnsi="Apercu" w:cs="Apercu"/>
          <w:lang w:val="it-IT"/>
        </w:rPr>
        <w:t>istituit</w:t>
      </w:r>
      <w:r w:rsidR="00207C73">
        <w:rPr>
          <w:rFonts w:ascii="Apercu" w:eastAsia="Apercu" w:hAnsi="Apercu" w:cs="Apercu"/>
          <w:lang w:val="it-IT"/>
        </w:rPr>
        <w:t>o</w:t>
      </w:r>
      <w:r w:rsidRPr="00207C73">
        <w:rPr>
          <w:rFonts w:ascii="Apercu" w:eastAsia="Apercu" w:hAnsi="Apercu" w:cs="Apercu"/>
          <w:lang w:val="it-IT"/>
        </w:rPr>
        <w:t xml:space="preserve"> nel 2012</w:t>
      </w:r>
      <w:r w:rsidR="114EC88C" w:rsidRPr="00207C73">
        <w:rPr>
          <w:rFonts w:ascii="Apercu" w:eastAsia="Apercu" w:hAnsi="Apercu" w:cs="Apercu"/>
          <w:lang w:val="it-IT"/>
        </w:rPr>
        <w:t xml:space="preserve">, sostiene il lavoro vitale della </w:t>
      </w:r>
      <w:r w:rsidRPr="00207C73">
        <w:rPr>
          <w:rFonts w:ascii="Apercu" w:eastAsia="Apercu" w:hAnsi="Apercu" w:cs="Apercu"/>
          <w:lang w:val="it-IT"/>
        </w:rPr>
        <w:t xml:space="preserve">comunità artistica internazionale </w:t>
      </w:r>
      <w:r w:rsidR="114EC88C" w:rsidRPr="00207C73">
        <w:rPr>
          <w:rFonts w:ascii="Apercu" w:eastAsia="Apercu" w:hAnsi="Apercu" w:cs="Apercu"/>
          <w:lang w:val="it-IT"/>
        </w:rPr>
        <w:t xml:space="preserve">nella conservazione </w:t>
      </w:r>
      <w:r w:rsidRPr="00207C73">
        <w:rPr>
          <w:rFonts w:ascii="Apercu" w:eastAsia="Apercu" w:hAnsi="Apercu" w:cs="Apercu"/>
          <w:lang w:val="it-IT"/>
        </w:rPr>
        <w:t>del patrimonio artistico e culturale.</w:t>
      </w:r>
    </w:p>
    <w:p w14:paraId="4E20F2A4" w14:textId="77777777" w:rsidR="004B5270" w:rsidRPr="00207C73" w:rsidRDefault="004B5270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</w:p>
    <w:p w14:paraId="406442FD" w14:textId="46E51956" w:rsidR="620D2334" w:rsidRPr="00207C73" w:rsidRDefault="620D2334" w:rsidP="43F0C531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Grazie al finanziamento del TEFAF, il Musée Condé restaurerà </w:t>
      </w:r>
      <w:r w:rsidRPr="00207C73">
        <w:rPr>
          <w:rFonts w:ascii="Apercu" w:eastAsia="Apercu" w:hAnsi="Apercu" w:cs="Apercu"/>
          <w:i/>
          <w:iCs/>
          <w:lang w:val="it-IT"/>
        </w:rPr>
        <w:t xml:space="preserve">le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Très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Riches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Heures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du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Duc de Berry</w:t>
      </w:r>
      <w:r w:rsidRPr="00207C73">
        <w:rPr>
          <w:rFonts w:ascii="Apercu" w:eastAsia="Apercu" w:hAnsi="Apercu" w:cs="Apercu"/>
          <w:lang w:val="it-IT"/>
        </w:rPr>
        <w:t xml:space="preserve">, uno dei più importanti manoscritti miniati del Medioevo. Creato per Giovanni, duca di Berry, fratello del re Carlo V di Francia, il Libro d'Ore fu dipinto dai famosi fratelli </w:t>
      </w:r>
      <w:proofErr w:type="spellStart"/>
      <w:r w:rsidRPr="00207C73">
        <w:rPr>
          <w:rFonts w:ascii="Apercu" w:eastAsia="Apercu" w:hAnsi="Apercu" w:cs="Apercu"/>
          <w:lang w:val="it-IT"/>
        </w:rPr>
        <w:t>Limbourg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tra il 1411 e il 1416 circa. Rimasto incompiuto alla morte dei fratelli </w:t>
      </w:r>
      <w:proofErr w:type="spellStart"/>
      <w:r w:rsidRPr="00207C73">
        <w:rPr>
          <w:rFonts w:ascii="Apercu" w:eastAsia="Apercu" w:hAnsi="Apercu" w:cs="Apercu"/>
          <w:lang w:val="it-IT"/>
        </w:rPr>
        <w:t>Limbourg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e del loro </w:t>
      </w:r>
      <w:r w:rsidR="00207C73">
        <w:rPr>
          <w:rFonts w:ascii="Apercu" w:eastAsia="Apercu" w:hAnsi="Apercu" w:cs="Apercu"/>
          <w:lang w:val="it-IT"/>
        </w:rPr>
        <w:t>mecenate</w:t>
      </w:r>
      <w:r w:rsidRPr="00207C73">
        <w:rPr>
          <w:rFonts w:ascii="Apercu" w:eastAsia="Apercu" w:hAnsi="Apercu" w:cs="Apercu"/>
          <w:lang w:val="it-IT"/>
        </w:rPr>
        <w:t xml:space="preserve"> nel 1416, il manoscritto fu ulteriormente arricchito da </w:t>
      </w:r>
      <w:r w:rsidR="365893E0" w:rsidRPr="00207C73">
        <w:rPr>
          <w:rFonts w:ascii="Apercu" w:eastAsia="Apercu" w:hAnsi="Apercu" w:cs="Apercu"/>
          <w:lang w:val="it-IT"/>
        </w:rPr>
        <w:t xml:space="preserve">Barthélemy </w:t>
      </w:r>
      <w:r w:rsidRPr="00207C73">
        <w:rPr>
          <w:rFonts w:ascii="Apercu" w:eastAsia="Apercu" w:hAnsi="Apercu" w:cs="Apercu"/>
          <w:lang w:val="it-IT"/>
        </w:rPr>
        <w:t>d</w:t>
      </w:r>
      <w:r w:rsidR="214BFB87" w:rsidRPr="00207C73">
        <w:rPr>
          <w:rFonts w:ascii="Apercu" w:eastAsia="Apercu" w:hAnsi="Apercu" w:cs="Apercu"/>
          <w:lang w:val="it-IT"/>
        </w:rPr>
        <w:t>'</w:t>
      </w:r>
      <w:r w:rsidRPr="00207C73">
        <w:rPr>
          <w:rFonts w:ascii="Apercu" w:eastAsia="Apercu" w:hAnsi="Apercu" w:cs="Apercu"/>
          <w:lang w:val="it-IT"/>
        </w:rPr>
        <w:t>Eyck negli anni Quaranta del Quattrocento e dal miniaturista francese Jean Colombe intorno al 1485; in seguito, nel 1856, lo acquistò il duca d'</w:t>
      </w:r>
      <w:proofErr w:type="spellStart"/>
      <w:r w:rsidRPr="00207C73">
        <w:rPr>
          <w:rFonts w:ascii="Apercu" w:eastAsia="Apercu" w:hAnsi="Apercu" w:cs="Apercu"/>
          <w:lang w:val="it-IT"/>
        </w:rPr>
        <w:t>Aumale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, un rinomato collezionista d'arte che lasciò il castello di Chantilly all'Institut de France per esporre la sua collezione, tra cui le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Très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Riches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Heures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du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Duc de Berry.</w:t>
      </w:r>
    </w:p>
    <w:p w14:paraId="0C23870C" w14:textId="77777777" w:rsidR="00D8541A" w:rsidRPr="00207C73" w:rsidRDefault="00D8541A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</w:p>
    <w:p w14:paraId="12DAD9E8" w14:textId="4AB2AF6F" w:rsidR="00D8541A" w:rsidRPr="00207C73" w:rsidRDefault="228FA275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Spesso </w:t>
      </w:r>
      <w:r w:rsidR="5578171A" w:rsidRPr="00207C73">
        <w:rPr>
          <w:rFonts w:ascii="Apercu" w:eastAsia="Apercu" w:hAnsi="Apercu" w:cs="Apercu"/>
          <w:lang w:val="it-IT"/>
        </w:rPr>
        <w:t xml:space="preserve">considerato </w:t>
      </w:r>
      <w:r w:rsidRPr="00207C73">
        <w:rPr>
          <w:rFonts w:ascii="Apercu" w:eastAsia="Apercu" w:hAnsi="Apercu" w:cs="Apercu"/>
          <w:lang w:val="it-IT"/>
        </w:rPr>
        <w:t xml:space="preserve">la "Monna Lisa" dei libri di preghiera e una vera e propria icona medievale, il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Très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Riches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Heures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du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Duc de Berry </w:t>
      </w:r>
      <w:r w:rsidRPr="00207C73">
        <w:rPr>
          <w:rFonts w:ascii="Apercu" w:eastAsia="Apercu" w:hAnsi="Apercu" w:cs="Apercu"/>
          <w:lang w:val="it-IT"/>
        </w:rPr>
        <w:t>non può essere esposto al di fuori di Chantilly a causa delle condizioni imposte dal lascito del Duca d'</w:t>
      </w:r>
      <w:proofErr w:type="spellStart"/>
      <w:r w:rsidRPr="00207C73">
        <w:rPr>
          <w:rFonts w:ascii="Apercu" w:eastAsia="Apercu" w:hAnsi="Apercu" w:cs="Apercu"/>
          <w:lang w:val="it-IT"/>
        </w:rPr>
        <w:t>Aumale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. </w:t>
      </w:r>
      <w:r w:rsidR="2435AC7C" w:rsidRPr="00207C73">
        <w:rPr>
          <w:rFonts w:ascii="Apercu" w:eastAsia="Apercu" w:hAnsi="Apercu" w:cs="Apercu"/>
          <w:lang w:val="it-IT"/>
        </w:rPr>
        <w:t>Inoltre</w:t>
      </w:r>
      <w:r w:rsidRPr="00207C73">
        <w:rPr>
          <w:rFonts w:ascii="Apercu" w:eastAsia="Apercu" w:hAnsi="Apercu" w:cs="Apercu"/>
          <w:lang w:val="it-IT"/>
        </w:rPr>
        <w:t>,</w:t>
      </w:r>
      <w:r w:rsidR="2435AC7C" w:rsidRPr="00207C73">
        <w:rPr>
          <w:rFonts w:ascii="Apercu" w:eastAsia="Apercu" w:hAnsi="Apercu" w:cs="Apercu"/>
          <w:lang w:val="it-IT"/>
        </w:rPr>
        <w:t xml:space="preserve"> </w:t>
      </w:r>
      <w:r w:rsidRPr="00207C73">
        <w:rPr>
          <w:rFonts w:ascii="Apercu" w:eastAsia="Apercu" w:hAnsi="Apercu" w:cs="Apercu"/>
          <w:lang w:val="it-IT"/>
        </w:rPr>
        <w:t xml:space="preserve">a causa della sua fragilità e del suo valore, non </w:t>
      </w:r>
      <w:proofErr w:type="gramStart"/>
      <w:r w:rsidRPr="00207C73">
        <w:rPr>
          <w:rFonts w:ascii="Apercu" w:eastAsia="Apercu" w:hAnsi="Apercu" w:cs="Apercu"/>
          <w:lang w:val="it-IT"/>
        </w:rPr>
        <w:t>è  accessibile</w:t>
      </w:r>
      <w:proofErr w:type="gramEnd"/>
      <w:r w:rsidRPr="00207C73">
        <w:rPr>
          <w:rFonts w:ascii="Apercu" w:eastAsia="Apercu" w:hAnsi="Apercu" w:cs="Apercu"/>
          <w:lang w:val="it-IT"/>
        </w:rPr>
        <w:t xml:space="preserve"> </w:t>
      </w:r>
      <w:r w:rsidRPr="00207C73">
        <w:rPr>
          <w:rFonts w:ascii="Apercu" w:eastAsia="Apercu" w:hAnsi="Apercu" w:cs="Apercu"/>
          <w:lang w:val="it-IT"/>
        </w:rPr>
        <w:lastRenderedPageBreak/>
        <w:t xml:space="preserve">al pubblico </w:t>
      </w:r>
      <w:r w:rsidR="00207C73">
        <w:rPr>
          <w:rFonts w:ascii="Apercu" w:eastAsia="Apercu" w:hAnsi="Apercu" w:cs="Apercu"/>
          <w:lang w:val="it-IT"/>
        </w:rPr>
        <w:t>da</w:t>
      </w:r>
      <w:r w:rsidRPr="00207C73">
        <w:rPr>
          <w:rFonts w:ascii="Apercu" w:eastAsia="Apercu" w:hAnsi="Apercu" w:cs="Apercu"/>
          <w:lang w:val="it-IT"/>
        </w:rPr>
        <w:t xml:space="preserve"> </w:t>
      </w:r>
      <w:r w:rsidR="0B410B1A" w:rsidRPr="00207C73">
        <w:rPr>
          <w:rFonts w:ascii="Apercu" w:eastAsia="Apercu" w:hAnsi="Apercu" w:cs="Apercu"/>
          <w:lang w:val="it-IT"/>
        </w:rPr>
        <w:t>decenni</w:t>
      </w:r>
      <w:r w:rsidRPr="00207C73">
        <w:rPr>
          <w:rFonts w:ascii="Apercu" w:eastAsia="Apercu" w:hAnsi="Apercu" w:cs="Apercu"/>
          <w:lang w:val="it-IT"/>
        </w:rPr>
        <w:t xml:space="preserve">. Il restauro del manoscritto </w:t>
      </w:r>
      <w:r w:rsidR="2435AC7C" w:rsidRPr="00207C73">
        <w:rPr>
          <w:rFonts w:ascii="Apercu" w:eastAsia="Apercu" w:hAnsi="Apercu" w:cs="Apercu"/>
          <w:lang w:val="it-IT"/>
        </w:rPr>
        <w:t xml:space="preserve">consente </w:t>
      </w:r>
      <w:r w:rsidRPr="00207C73">
        <w:rPr>
          <w:rFonts w:ascii="Apercu" w:eastAsia="Apercu" w:hAnsi="Apercu" w:cs="Apercu"/>
          <w:lang w:val="it-IT"/>
        </w:rPr>
        <w:t xml:space="preserve">ora di esporre il suo leggendario calendario, che sarà </w:t>
      </w:r>
      <w:r w:rsidR="5578171A" w:rsidRPr="00207C73">
        <w:rPr>
          <w:rFonts w:ascii="Apercu" w:eastAsia="Apercu" w:hAnsi="Apercu" w:cs="Apercu"/>
          <w:lang w:val="it-IT"/>
        </w:rPr>
        <w:t xml:space="preserve">staccato </w:t>
      </w:r>
      <w:r w:rsidRPr="00207C73">
        <w:rPr>
          <w:rFonts w:ascii="Apercu" w:eastAsia="Apercu" w:hAnsi="Apercu" w:cs="Apercu"/>
          <w:lang w:val="it-IT"/>
        </w:rPr>
        <w:t xml:space="preserve">dalla rilegatura e presentato in una prossima mostra al Musée Condé, insieme a prestiti eccezionali nazionali e internazionali che lo collocano nel suo contesto storico e dimostrano la sua influenza </w:t>
      </w:r>
      <w:r w:rsidR="2435AC7C" w:rsidRPr="00207C73">
        <w:rPr>
          <w:rFonts w:ascii="Apercu" w:eastAsia="Apercu" w:hAnsi="Apercu" w:cs="Apercu"/>
          <w:lang w:val="it-IT"/>
        </w:rPr>
        <w:t xml:space="preserve">duratura </w:t>
      </w:r>
      <w:r w:rsidRPr="00207C73">
        <w:rPr>
          <w:rFonts w:ascii="Apercu" w:eastAsia="Apercu" w:hAnsi="Apercu" w:cs="Apercu"/>
          <w:lang w:val="it-IT"/>
        </w:rPr>
        <w:t xml:space="preserve">dal XV secolo a oggi. Questa mostra, che si terrà dal 7 giugno al 5 ottobre 2025, </w:t>
      </w:r>
      <w:r w:rsidR="2435AC7C" w:rsidRPr="00207C73">
        <w:rPr>
          <w:rFonts w:ascii="Apercu" w:eastAsia="Apercu" w:hAnsi="Apercu" w:cs="Apercu"/>
          <w:lang w:val="it-IT"/>
        </w:rPr>
        <w:t xml:space="preserve">offrirà </w:t>
      </w:r>
      <w:r w:rsidRPr="00207C73">
        <w:rPr>
          <w:rFonts w:ascii="Apercu" w:eastAsia="Apercu" w:hAnsi="Apercu" w:cs="Apercu"/>
          <w:lang w:val="it-IT"/>
        </w:rPr>
        <w:t xml:space="preserve">ai visitatori </w:t>
      </w:r>
      <w:r w:rsidR="5578171A" w:rsidRPr="00207C73">
        <w:rPr>
          <w:rFonts w:ascii="Apercu" w:eastAsia="Apercu" w:hAnsi="Apercu" w:cs="Apercu"/>
          <w:lang w:val="it-IT"/>
        </w:rPr>
        <w:t>un'</w:t>
      </w:r>
      <w:r w:rsidRPr="00207C73">
        <w:rPr>
          <w:rFonts w:ascii="Apercu" w:eastAsia="Apercu" w:hAnsi="Apercu" w:cs="Apercu"/>
          <w:lang w:val="it-IT"/>
        </w:rPr>
        <w:t xml:space="preserve">opportunità senza precedenti di vedere le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Très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Riches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Heures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du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Duc de Berry </w:t>
      </w:r>
      <w:r w:rsidRPr="00207C73">
        <w:rPr>
          <w:rFonts w:ascii="Apercu" w:eastAsia="Apercu" w:hAnsi="Apercu" w:cs="Apercu"/>
          <w:lang w:val="it-IT"/>
        </w:rPr>
        <w:t xml:space="preserve">nel loro pieno splendore, dopo diversi mesi di analisi e di lavoro di restauro da parte dell'équipe di </w:t>
      </w:r>
      <w:proofErr w:type="gramStart"/>
      <w:r w:rsidRPr="00207C73">
        <w:rPr>
          <w:rFonts w:ascii="Apercu" w:eastAsia="Apercu" w:hAnsi="Apercu" w:cs="Apercu"/>
          <w:lang w:val="it-IT"/>
        </w:rPr>
        <w:t xml:space="preserve">conservazione </w:t>
      </w:r>
      <w:r w:rsidR="00207C73">
        <w:rPr>
          <w:rFonts w:ascii="Apercu" w:eastAsia="Apercu" w:hAnsi="Apercu" w:cs="Apercu"/>
          <w:lang w:val="it-IT"/>
        </w:rPr>
        <w:t xml:space="preserve"> che</w:t>
      </w:r>
      <w:proofErr w:type="gramEnd"/>
      <w:r w:rsidR="00207C73">
        <w:rPr>
          <w:rFonts w:ascii="Apercu" w:eastAsia="Apercu" w:hAnsi="Apercu" w:cs="Apercu"/>
          <w:lang w:val="it-IT"/>
        </w:rPr>
        <w:t xml:space="preserve"> ha lavorato </w:t>
      </w:r>
      <w:r w:rsidRPr="00207C73">
        <w:rPr>
          <w:rFonts w:ascii="Apercu" w:eastAsia="Apercu" w:hAnsi="Apercu" w:cs="Apercu"/>
          <w:lang w:val="it-IT"/>
        </w:rPr>
        <w:t>in loco.</w:t>
      </w:r>
    </w:p>
    <w:p w14:paraId="523EA767" w14:textId="77777777" w:rsidR="00E34A2F" w:rsidRPr="00207C73" w:rsidRDefault="00E34A2F" w:rsidP="43F0C531">
      <w:pPr>
        <w:spacing w:after="0" w:line="240" w:lineRule="auto"/>
        <w:jc w:val="both"/>
        <w:rPr>
          <w:rFonts w:ascii="Apercu" w:eastAsia="Apercu" w:hAnsi="Apercu" w:cs="Apercu"/>
          <w:i/>
          <w:iCs/>
          <w:lang w:val="it-IT"/>
        </w:rPr>
      </w:pPr>
    </w:p>
    <w:p w14:paraId="15687E76" w14:textId="77777777" w:rsidR="00396489" w:rsidRPr="00207C73" w:rsidRDefault="00396489" w:rsidP="43F0C531">
      <w:pPr>
        <w:spacing w:after="0" w:line="240" w:lineRule="auto"/>
        <w:jc w:val="both"/>
        <w:rPr>
          <w:rFonts w:ascii="Apercu" w:eastAsia="Apercu" w:hAnsi="Apercu" w:cs="Apercu"/>
          <w:i/>
          <w:iCs/>
          <w:lang w:val="it-IT"/>
        </w:rPr>
      </w:pPr>
    </w:p>
    <w:p w14:paraId="13CC43DE" w14:textId="2626D0DF" w:rsidR="00E34A2F" w:rsidRPr="00D8541A" w:rsidRDefault="137D807E" w:rsidP="43F0C531">
      <w:pPr>
        <w:spacing w:after="0" w:line="240" w:lineRule="auto"/>
        <w:jc w:val="center"/>
        <w:rPr>
          <w:rFonts w:ascii="Apercu" w:eastAsia="Apercu" w:hAnsi="Apercu" w:cs="Apercu"/>
          <w:i/>
          <w:iCs/>
          <w:lang w:val="en-GB"/>
        </w:rPr>
      </w:pPr>
      <w:r>
        <w:rPr>
          <w:noProof/>
        </w:rPr>
        <w:drawing>
          <wp:inline distT="0" distB="0" distL="0" distR="0" wp14:anchorId="3A27D06E" wp14:editId="5B64C13F">
            <wp:extent cx="3234088" cy="2290467"/>
            <wp:effectExtent l="0" t="0" r="4445" b="0"/>
            <wp:docPr id="1464492042" name="Picture 4" descr="An open book with a pain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88" cy="22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211F" w14:textId="27863D57" w:rsidR="00374301" w:rsidRDefault="0BCABCE4" w:rsidP="43F0C531">
      <w:pPr>
        <w:spacing w:after="0" w:line="240" w:lineRule="auto"/>
        <w:jc w:val="center"/>
        <w:rPr>
          <w:rFonts w:ascii="Apercu" w:eastAsia="Apercu" w:hAnsi="Apercu" w:cs="Apercu"/>
          <w:color w:val="000000" w:themeColor="text1"/>
          <w:lang w:val="fr-FR"/>
        </w:rPr>
      </w:pPr>
      <w:proofErr w:type="spellStart"/>
      <w:r w:rsidRPr="43F0C531">
        <w:rPr>
          <w:rFonts w:ascii="Apercu" w:eastAsia="Apercu" w:hAnsi="Apercu" w:cs="Apercu"/>
          <w:color w:val="000000" w:themeColor="text1"/>
          <w:lang w:val="fr-FR"/>
        </w:rPr>
        <w:t>Immagine</w:t>
      </w:r>
      <w:proofErr w:type="spellEnd"/>
      <w:r w:rsidRPr="43F0C531">
        <w:rPr>
          <w:rFonts w:ascii="Apercu" w:eastAsia="Apercu" w:hAnsi="Apercu" w:cs="Apercu"/>
          <w:color w:val="000000" w:themeColor="text1"/>
          <w:lang w:val="fr-FR"/>
        </w:rPr>
        <w:t xml:space="preserve"> per </w:t>
      </w:r>
      <w:proofErr w:type="spellStart"/>
      <w:r w:rsidRPr="43F0C531">
        <w:rPr>
          <w:rFonts w:ascii="Apercu" w:eastAsia="Apercu" w:hAnsi="Apercu" w:cs="Apercu"/>
          <w:color w:val="000000" w:themeColor="text1"/>
          <w:lang w:val="fr-FR"/>
        </w:rPr>
        <w:t>gentile</w:t>
      </w:r>
      <w:proofErr w:type="spellEnd"/>
      <w:r w:rsidRPr="43F0C531">
        <w:rPr>
          <w:rFonts w:ascii="Apercu" w:eastAsia="Apercu" w:hAnsi="Apercu" w:cs="Apercu"/>
          <w:color w:val="000000" w:themeColor="text1"/>
          <w:lang w:val="fr-FR"/>
        </w:rPr>
        <w:t xml:space="preserve"> </w:t>
      </w:r>
      <w:proofErr w:type="spellStart"/>
      <w:r w:rsidRPr="43F0C531">
        <w:rPr>
          <w:rFonts w:ascii="Apercu" w:eastAsia="Apercu" w:hAnsi="Apercu" w:cs="Apercu"/>
          <w:color w:val="000000" w:themeColor="text1"/>
          <w:lang w:val="fr-FR"/>
        </w:rPr>
        <w:t>concessione</w:t>
      </w:r>
      <w:proofErr w:type="spellEnd"/>
      <w:r w:rsidRPr="43F0C531">
        <w:rPr>
          <w:rFonts w:ascii="Apercu" w:eastAsia="Apercu" w:hAnsi="Apercu" w:cs="Apercu"/>
          <w:color w:val="000000" w:themeColor="text1"/>
          <w:lang w:val="fr-FR"/>
        </w:rPr>
        <w:t xml:space="preserve"> </w:t>
      </w:r>
      <w:proofErr w:type="spellStart"/>
      <w:r w:rsidRPr="43F0C531">
        <w:rPr>
          <w:rFonts w:ascii="Apercu" w:eastAsia="Apercu" w:hAnsi="Apercu" w:cs="Apercu"/>
          <w:color w:val="000000" w:themeColor="text1"/>
          <w:lang w:val="fr-FR"/>
        </w:rPr>
        <w:t>della</w:t>
      </w:r>
      <w:proofErr w:type="spellEnd"/>
      <w:r w:rsidRPr="43F0C531">
        <w:rPr>
          <w:rFonts w:ascii="Apercu" w:eastAsia="Apercu" w:hAnsi="Apercu" w:cs="Apercu"/>
          <w:color w:val="000000" w:themeColor="text1"/>
          <w:lang w:val="fr-FR"/>
        </w:rPr>
        <w:t xml:space="preserve"> Bibliothèque du musée Condé, Château de Chantilly</w:t>
      </w:r>
    </w:p>
    <w:p w14:paraId="5F769EF3" w14:textId="77777777" w:rsidR="00D8541A" w:rsidRPr="00207C73" w:rsidRDefault="00D8541A" w:rsidP="4858AD89">
      <w:pPr>
        <w:spacing w:after="0" w:line="240" w:lineRule="auto"/>
        <w:jc w:val="both"/>
        <w:rPr>
          <w:rFonts w:ascii="Apercu" w:eastAsia="Apercu" w:hAnsi="Apercu" w:cs="Apercu"/>
          <w:lang w:val="fr-FR"/>
        </w:rPr>
      </w:pPr>
    </w:p>
    <w:p w14:paraId="06236817" w14:textId="7867B0F5" w:rsidR="00374301" w:rsidRPr="00207C73" w:rsidRDefault="228FA275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Mathieu </w:t>
      </w:r>
      <w:proofErr w:type="spellStart"/>
      <w:r w:rsidRPr="00207C73">
        <w:rPr>
          <w:rFonts w:ascii="Apercu" w:eastAsia="Apercu" w:hAnsi="Apercu" w:cs="Apercu"/>
          <w:b/>
          <w:bCs/>
          <w:lang w:val="it-IT"/>
        </w:rPr>
        <w:t>Deldicque</w:t>
      </w:r>
      <w:proofErr w:type="spellEnd"/>
      <w:r w:rsidRPr="00207C73">
        <w:rPr>
          <w:rFonts w:ascii="Apercu" w:eastAsia="Apercu" w:hAnsi="Apercu" w:cs="Apercu"/>
          <w:lang w:val="it-IT"/>
        </w:rPr>
        <w:t>, direttore del Musée Condé, Château de Chantilly, ha commentato</w:t>
      </w:r>
      <w:r w:rsidR="0B2CDF73" w:rsidRPr="00207C73">
        <w:rPr>
          <w:rFonts w:ascii="Apercu" w:eastAsia="Apercu" w:hAnsi="Apercu" w:cs="Apercu"/>
          <w:lang w:val="it-IT"/>
        </w:rPr>
        <w:t xml:space="preserve">: </w:t>
      </w:r>
      <w:r w:rsidRPr="00207C73">
        <w:rPr>
          <w:rFonts w:ascii="Apercu" w:eastAsia="Apercu" w:hAnsi="Apercu" w:cs="Apercu"/>
          <w:lang w:val="it-IT"/>
        </w:rPr>
        <w:t xml:space="preserve">"È un grande onore per il Musée Condé ricevere il TEFAF Museum </w:t>
      </w:r>
      <w:proofErr w:type="spellStart"/>
      <w:r w:rsidRPr="00207C73">
        <w:rPr>
          <w:rFonts w:ascii="Apercu" w:eastAsia="Apercu" w:hAnsi="Apercu" w:cs="Apercu"/>
          <w:lang w:val="it-IT"/>
        </w:rPr>
        <w:t>Restoration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Fund. Il restauro del manoscritto medievale più famoso del mondo con il sostegno della fiera d'arte</w:t>
      </w:r>
      <w:r w:rsidR="2B1447EC" w:rsidRPr="00207C73">
        <w:rPr>
          <w:rFonts w:ascii="Apercu" w:eastAsia="Apercu" w:hAnsi="Apercu" w:cs="Apercu"/>
          <w:lang w:val="it-IT"/>
        </w:rPr>
        <w:t xml:space="preserve"> più prestigiosa </w:t>
      </w:r>
      <w:r w:rsidRPr="00207C73">
        <w:rPr>
          <w:rFonts w:ascii="Apercu" w:eastAsia="Apercu" w:hAnsi="Apercu" w:cs="Apercu"/>
          <w:lang w:val="it-IT"/>
        </w:rPr>
        <w:t>del mondo ha davvero senso, ed è una grande opportunità per mettere in mostra uno dei tesori dell'umanità e preservarlo per le generazioni future."</w:t>
      </w:r>
    </w:p>
    <w:p w14:paraId="07CC898E" w14:textId="77777777" w:rsidR="004B5270" w:rsidRPr="00207C73" w:rsidRDefault="004B5270" w:rsidP="43F0C531">
      <w:pPr>
        <w:spacing w:after="0" w:line="240" w:lineRule="auto"/>
        <w:jc w:val="both"/>
        <w:rPr>
          <w:rFonts w:ascii="Apercu" w:eastAsia="Apercu" w:hAnsi="Apercu" w:cs="Apercu"/>
          <w:i/>
          <w:iCs/>
          <w:lang w:val="it-IT"/>
        </w:rPr>
      </w:pPr>
    </w:p>
    <w:p w14:paraId="1EFCEFA1" w14:textId="0BB6ADF1" w:rsidR="2AF0C1F5" w:rsidRPr="00207C73" w:rsidRDefault="77B7BDF1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Rachel Kaminsky</w:t>
      </w:r>
      <w:r w:rsidRPr="00207C73">
        <w:rPr>
          <w:rFonts w:ascii="Apercu" w:eastAsia="Apercu" w:hAnsi="Apercu" w:cs="Apercu"/>
          <w:lang w:val="it-IT"/>
        </w:rPr>
        <w:t xml:space="preserve">, responsabile del comitato del TEFAF Museum </w:t>
      </w:r>
      <w:proofErr w:type="spellStart"/>
      <w:r w:rsidRPr="00207C73">
        <w:rPr>
          <w:rFonts w:ascii="Apercu" w:eastAsia="Apercu" w:hAnsi="Apercu" w:cs="Apercu"/>
          <w:lang w:val="it-IT"/>
        </w:rPr>
        <w:t>Restoration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Fund, ha commentato: "Le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Très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Riches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Heures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</w:t>
      </w:r>
      <w:proofErr w:type="spellStart"/>
      <w:r w:rsidRPr="00207C73">
        <w:rPr>
          <w:rFonts w:ascii="Apercu" w:eastAsia="Apercu" w:hAnsi="Apercu" w:cs="Apercu"/>
          <w:i/>
          <w:iCs/>
          <w:lang w:val="it-IT"/>
        </w:rPr>
        <w:t>du</w:t>
      </w:r>
      <w:proofErr w:type="spellEnd"/>
      <w:r w:rsidRPr="00207C73">
        <w:rPr>
          <w:rFonts w:ascii="Apercu" w:eastAsia="Apercu" w:hAnsi="Apercu" w:cs="Apercu"/>
          <w:i/>
          <w:iCs/>
          <w:lang w:val="it-IT"/>
        </w:rPr>
        <w:t xml:space="preserve"> Duc de Berry </w:t>
      </w:r>
      <w:r w:rsidR="00207C73">
        <w:rPr>
          <w:rFonts w:ascii="Apercu" w:eastAsia="Apercu" w:hAnsi="Apercu" w:cs="Apercu"/>
          <w:i/>
          <w:iCs/>
          <w:lang w:val="it-IT"/>
        </w:rPr>
        <w:t>è</w:t>
      </w:r>
      <w:r w:rsidRPr="00207C73">
        <w:rPr>
          <w:rFonts w:ascii="Apercu" w:eastAsia="Apercu" w:hAnsi="Apercu" w:cs="Apercu"/>
          <w:lang w:val="it-IT"/>
        </w:rPr>
        <w:t xml:space="preserve"> uno dei più celebri capolavori dell'arte occidentale, una straordinaria convergenza di bellezza, maestria e rarità". Questa opportunità</w:t>
      </w:r>
      <w:r w:rsidR="00207C73">
        <w:rPr>
          <w:rFonts w:ascii="Apercu" w:eastAsia="Apercu" w:hAnsi="Apercu" w:cs="Apercu"/>
          <w:lang w:val="it-IT"/>
        </w:rPr>
        <w:t xml:space="preserve"> -</w:t>
      </w:r>
      <w:r w:rsidRPr="00207C73">
        <w:rPr>
          <w:rFonts w:ascii="Apercu" w:eastAsia="Apercu" w:hAnsi="Apercu" w:cs="Apercu"/>
          <w:lang w:val="it-IT"/>
        </w:rPr>
        <w:t xml:space="preserve"> unica nella vita</w:t>
      </w:r>
      <w:proofErr w:type="gramStart"/>
      <w:r w:rsidR="00207C73">
        <w:rPr>
          <w:rFonts w:ascii="Apercu" w:eastAsia="Apercu" w:hAnsi="Apercu" w:cs="Apercu"/>
          <w:lang w:val="it-IT"/>
        </w:rPr>
        <w:t xml:space="preserve">- </w:t>
      </w:r>
      <w:r w:rsidRPr="00207C73">
        <w:rPr>
          <w:rFonts w:ascii="Apercu" w:eastAsia="Apercu" w:hAnsi="Apercu" w:cs="Apercu"/>
          <w:lang w:val="it-IT"/>
        </w:rPr>
        <w:t xml:space="preserve"> di</w:t>
      </w:r>
      <w:proofErr w:type="gramEnd"/>
      <w:r w:rsidRPr="00207C73">
        <w:rPr>
          <w:rFonts w:ascii="Apercu" w:eastAsia="Apercu" w:hAnsi="Apercu" w:cs="Apercu"/>
          <w:lang w:val="it-IT"/>
        </w:rPr>
        <w:t xml:space="preserve"> contribuire alla conservazione del manoscritto</w:t>
      </w:r>
      <w:r w:rsidR="00207C73">
        <w:rPr>
          <w:rFonts w:ascii="Apercu" w:eastAsia="Apercu" w:hAnsi="Apercu" w:cs="Apercu"/>
          <w:lang w:val="it-IT"/>
        </w:rPr>
        <w:t>,</w:t>
      </w:r>
      <w:r w:rsidRPr="00207C73">
        <w:rPr>
          <w:rFonts w:ascii="Apercu" w:eastAsia="Apercu" w:hAnsi="Apercu" w:cs="Apercu"/>
          <w:lang w:val="it-IT"/>
        </w:rPr>
        <w:t xml:space="preserve"> ha convinto il comitato del TMRF a rinunciare a</w:t>
      </w:r>
      <w:r w:rsidR="00D24AEA">
        <w:rPr>
          <w:rFonts w:ascii="Apercu" w:eastAsia="Apercu" w:hAnsi="Apercu" w:cs="Apercu"/>
          <w:lang w:val="it-IT"/>
        </w:rPr>
        <w:t xml:space="preserve">l criterio </w:t>
      </w:r>
      <w:r w:rsidRPr="00207C73">
        <w:rPr>
          <w:rFonts w:ascii="Apercu" w:eastAsia="Apercu" w:hAnsi="Apercu" w:cs="Apercu"/>
          <w:lang w:val="it-IT"/>
        </w:rPr>
        <w:t xml:space="preserve"> che il TEFAF </w:t>
      </w:r>
      <w:r w:rsidR="00D24AEA">
        <w:rPr>
          <w:rFonts w:ascii="Apercu" w:eastAsia="Apercu" w:hAnsi="Apercu" w:cs="Apercu"/>
          <w:lang w:val="it-IT"/>
        </w:rPr>
        <w:t>fosse</w:t>
      </w:r>
      <w:r w:rsidRPr="00207C73">
        <w:rPr>
          <w:rFonts w:ascii="Apercu" w:eastAsia="Apercu" w:hAnsi="Apercu" w:cs="Apercu"/>
          <w:lang w:val="it-IT"/>
        </w:rPr>
        <w:t xml:space="preserve"> lo </w:t>
      </w:r>
      <w:r w:rsidR="2435AC7C" w:rsidRPr="00207C73">
        <w:rPr>
          <w:rFonts w:ascii="Apercu" w:eastAsia="Apercu" w:hAnsi="Apercu" w:cs="Apercu"/>
          <w:lang w:val="it-IT"/>
        </w:rPr>
        <w:t xml:space="preserve">sponsor </w:t>
      </w:r>
      <w:r w:rsidRPr="00207C73">
        <w:rPr>
          <w:rFonts w:ascii="Apercu" w:eastAsia="Apercu" w:hAnsi="Apercu" w:cs="Apercu"/>
          <w:lang w:val="it-IT"/>
        </w:rPr>
        <w:t xml:space="preserve">principale o unico </w:t>
      </w:r>
      <w:r w:rsidR="2435AC7C" w:rsidRPr="00207C73">
        <w:rPr>
          <w:rFonts w:ascii="Apercu" w:eastAsia="Apercu" w:hAnsi="Apercu" w:cs="Apercu"/>
          <w:lang w:val="it-IT"/>
        </w:rPr>
        <w:t>del progetto</w:t>
      </w:r>
      <w:r w:rsidRPr="00207C73">
        <w:rPr>
          <w:rFonts w:ascii="Apercu" w:eastAsia="Apercu" w:hAnsi="Apercu" w:cs="Apercu"/>
          <w:lang w:val="it-IT"/>
        </w:rPr>
        <w:t>".</w:t>
      </w:r>
    </w:p>
    <w:p w14:paraId="0636712B" w14:textId="4098D052" w:rsidR="2FC9A75A" w:rsidRPr="00207C73" w:rsidRDefault="2FC9A75A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</w:p>
    <w:p w14:paraId="21642651" w14:textId="0782E8C8" w:rsidR="10FE74F3" w:rsidRPr="00207C73" w:rsidRDefault="36042BD2" w:rsidP="4858AD89">
      <w:pPr>
        <w:spacing w:after="0" w:line="240" w:lineRule="auto"/>
        <w:jc w:val="both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Anche quest'anno TEFAF ospiterà un TMRF Talk </w:t>
      </w:r>
      <w:r w:rsidR="643C91E5" w:rsidRPr="00207C73">
        <w:rPr>
          <w:rFonts w:ascii="Apercu" w:eastAsia="Apercu" w:hAnsi="Apercu" w:cs="Apercu"/>
          <w:lang w:val="it-IT"/>
        </w:rPr>
        <w:t xml:space="preserve">presentato </w:t>
      </w:r>
      <w:r w:rsidRPr="00207C73">
        <w:rPr>
          <w:rFonts w:ascii="Apercu" w:eastAsia="Apercu" w:hAnsi="Apercu" w:cs="Apercu"/>
          <w:lang w:val="it-IT"/>
        </w:rPr>
        <w:t xml:space="preserve">da ICOM-CC, </w:t>
      </w:r>
      <w:proofErr w:type="spellStart"/>
      <w:r w:rsidRPr="00207C73">
        <w:rPr>
          <w:rFonts w:ascii="Apercu" w:eastAsia="Apercu" w:hAnsi="Apercu" w:cs="Apercu"/>
          <w:lang w:val="it-IT"/>
        </w:rPr>
        <w:t>powered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by Aon, sabato 15 marzo alle </w:t>
      </w:r>
      <w:r w:rsidR="4926B986" w:rsidRPr="00207C73">
        <w:rPr>
          <w:rFonts w:ascii="Apercu" w:eastAsia="Apercu" w:hAnsi="Apercu" w:cs="Apercu"/>
          <w:lang w:val="it-IT"/>
        </w:rPr>
        <w:t>13</w:t>
      </w:r>
      <w:r w:rsidRPr="00207C73">
        <w:rPr>
          <w:rFonts w:ascii="Apercu" w:eastAsia="Apercu" w:hAnsi="Apercu" w:cs="Apercu"/>
          <w:lang w:val="it-IT"/>
        </w:rPr>
        <w:t>.00 durante il TEFAF Maastricht 2025.</w:t>
      </w:r>
    </w:p>
    <w:p w14:paraId="732431AE" w14:textId="2036A905" w:rsidR="43F0C531" w:rsidRPr="00207C73" w:rsidRDefault="43F0C531" w:rsidP="43F0C531">
      <w:pPr>
        <w:spacing w:after="0" w:line="240" w:lineRule="auto"/>
        <w:jc w:val="both"/>
        <w:rPr>
          <w:rFonts w:ascii="Apercu" w:eastAsia="Apercu" w:hAnsi="Apercu" w:cs="Apercu"/>
          <w:b/>
          <w:bCs/>
          <w:lang w:val="it-IT"/>
        </w:rPr>
      </w:pPr>
    </w:p>
    <w:p w14:paraId="41C51269" w14:textId="468A764F" w:rsidR="007B679E" w:rsidRPr="00207C73" w:rsidRDefault="1FA7CCDA" w:rsidP="43F0C531">
      <w:pPr>
        <w:spacing w:after="0" w:line="240" w:lineRule="auto"/>
        <w:jc w:val="both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SUL FONDO DI RESTAURO </w:t>
      </w:r>
      <w:r w:rsidR="00D24AEA">
        <w:rPr>
          <w:rFonts w:ascii="Apercu" w:eastAsia="Apercu" w:hAnsi="Apercu" w:cs="Apercu"/>
          <w:b/>
          <w:bCs/>
          <w:lang w:val="it-IT"/>
        </w:rPr>
        <w:t>PER I MUSEI DI</w:t>
      </w:r>
      <w:r w:rsidRPr="00207C73">
        <w:rPr>
          <w:rFonts w:ascii="Apercu" w:eastAsia="Apercu" w:hAnsi="Apercu" w:cs="Apercu"/>
          <w:b/>
          <w:bCs/>
          <w:lang w:val="it-IT"/>
        </w:rPr>
        <w:t xml:space="preserve"> TEFAF</w:t>
      </w:r>
    </w:p>
    <w:p w14:paraId="24D2895E" w14:textId="224FAB6D" w:rsidR="6D570072" w:rsidRPr="00207C73" w:rsidRDefault="7A5F923B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lastRenderedPageBreak/>
        <w:t xml:space="preserve">Il TEFAF Museum </w:t>
      </w:r>
      <w:proofErr w:type="spellStart"/>
      <w:r w:rsidRPr="00207C73">
        <w:rPr>
          <w:rFonts w:ascii="Apercu" w:eastAsia="Apercu" w:hAnsi="Apercu" w:cs="Apercu"/>
          <w:lang w:val="it-IT"/>
        </w:rPr>
        <w:t>Restoration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Fund è stato istituito nel 2012 per sostenere e promuovere il restauro professionale e la relativa ricerca scientifica di opere d'arte significative nei musei. Sostenendo l'arte in tutte le sue forme, </w:t>
      </w:r>
      <w:r w:rsidR="363133DA" w:rsidRPr="00207C73">
        <w:rPr>
          <w:rFonts w:ascii="Apercu" w:eastAsia="Apercu" w:hAnsi="Apercu" w:cs="Apercu"/>
          <w:lang w:val="it-IT"/>
        </w:rPr>
        <w:t xml:space="preserve">il fondo accetta </w:t>
      </w:r>
      <w:r w:rsidRPr="00207C73">
        <w:rPr>
          <w:rFonts w:ascii="Apercu" w:eastAsia="Apercu" w:hAnsi="Apercu" w:cs="Apercu"/>
          <w:lang w:val="it-IT"/>
        </w:rPr>
        <w:t xml:space="preserve">richieste di </w:t>
      </w:r>
      <w:r w:rsidR="363133DA" w:rsidRPr="00207C73">
        <w:rPr>
          <w:rFonts w:ascii="Apercu" w:eastAsia="Apercu" w:hAnsi="Apercu" w:cs="Apercu"/>
          <w:lang w:val="it-IT"/>
        </w:rPr>
        <w:t xml:space="preserve">sovvenzione </w:t>
      </w:r>
      <w:r w:rsidRPr="00207C73">
        <w:rPr>
          <w:rFonts w:ascii="Apercu" w:eastAsia="Apercu" w:hAnsi="Apercu" w:cs="Apercu"/>
          <w:lang w:val="it-IT"/>
        </w:rPr>
        <w:t xml:space="preserve">da </w:t>
      </w:r>
      <w:r w:rsidR="363133DA" w:rsidRPr="00207C73">
        <w:rPr>
          <w:rFonts w:ascii="Apercu" w:eastAsia="Apercu" w:hAnsi="Apercu" w:cs="Apercu"/>
          <w:lang w:val="it-IT"/>
        </w:rPr>
        <w:t xml:space="preserve">musei di tutto il </w:t>
      </w:r>
      <w:r w:rsidRPr="00207C73">
        <w:rPr>
          <w:rFonts w:ascii="Apercu" w:eastAsia="Apercu" w:hAnsi="Apercu" w:cs="Apercu"/>
          <w:lang w:val="it-IT"/>
        </w:rPr>
        <w:t xml:space="preserve">mondo </w:t>
      </w:r>
      <w:r w:rsidR="2435AC7C" w:rsidRPr="00207C73">
        <w:rPr>
          <w:rFonts w:ascii="Apercu" w:eastAsia="Apercu" w:hAnsi="Apercu" w:cs="Apercu"/>
          <w:lang w:val="it-IT"/>
        </w:rPr>
        <w:t xml:space="preserve">e da </w:t>
      </w:r>
      <w:r w:rsidRPr="00207C73">
        <w:rPr>
          <w:rFonts w:ascii="Apercu" w:eastAsia="Apercu" w:hAnsi="Apercu" w:cs="Apercu"/>
          <w:lang w:val="it-IT"/>
        </w:rPr>
        <w:t xml:space="preserve">opere d'arte di qualsiasi </w:t>
      </w:r>
      <w:r w:rsidR="363133DA" w:rsidRPr="00207C73">
        <w:rPr>
          <w:rFonts w:ascii="Apercu" w:eastAsia="Apercu" w:hAnsi="Apercu" w:cs="Apercu"/>
          <w:lang w:val="it-IT"/>
        </w:rPr>
        <w:t>epoca</w:t>
      </w:r>
      <w:r w:rsidRPr="00207C73">
        <w:rPr>
          <w:rFonts w:ascii="Apercu" w:eastAsia="Apercu" w:hAnsi="Apercu" w:cs="Apercu"/>
          <w:lang w:val="it-IT"/>
        </w:rPr>
        <w:t xml:space="preserve">. </w:t>
      </w:r>
    </w:p>
    <w:p w14:paraId="5CF2023D" w14:textId="5A4EEA7B" w:rsidR="4858AD89" w:rsidRPr="00207C73" w:rsidRDefault="4858AD89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40602262" w14:textId="2DEDA036" w:rsidR="007B679E" w:rsidRPr="00207C73" w:rsidRDefault="1FA7CCDA" w:rsidP="4858AD89">
      <w:pPr>
        <w:spacing w:after="0" w:line="240" w:lineRule="auto"/>
        <w:rPr>
          <w:rFonts w:ascii="Apercu" w:eastAsia="Apercu" w:hAnsi="Apercu" w:cs="Apercu"/>
          <w:b/>
          <w:bCs/>
          <w:lang w:val="fr-FR"/>
        </w:rPr>
      </w:pPr>
      <w:r w:rsidRPr="00207C73">
        <w:rPr>
          <w:rFonts w:ascii="Apercu" w:eastAsia="Apercu" w:hAnsi="Apercu" w:cs="Apercu"/>
          <w:b/>
          <w:bCs/>
          <w:lang w:val="fr-FR"/>
        </w:rPr>
        <w:t xml:space="preserve"> MUSÉE CONDÉ, CHÂTEAU DE CHANTILLY</w:t>
      </w:r>
    </w:p>
    <w:p w14:paraId="201F0741" w14:textId="420EB62E" w:rsidR="003E3F91" w:rsidRPr="00207C73" w:rsidRDefault="2435AC7C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>Il Musée Condé del Castello di Chantilly, sito d'eccellenza del patrimonio francese, è l'eredità di un uomo, Enrico d'Orléans, duca d'</w:t>
      </w:r>
      <w:proofErr w:type="spellStart"/>
      <w:r w:rsidRPr="00207C73">
        <w:rPr>
          <w:rFonts w:ascii="Apercu" w:eastAsia="Apercu" w:hAnsi="Apercu" w:cs="Apercu"/>
          <w:lang w:val="it-IT"/>
        </w:rPr>
        <w:t>Aumale</w:t>
      </w:r>
      <w:proofErr w:type="spellEnd"/>
      <w:r w:rsidRPr="00207C73">
        <w:rPr>
          <w:rFonts w:ascii="Apercu" w:eastAsia="Apercu" w:hAnsi="Apercu" w:cs="Apercu"/>
          <w:lang w:val="it-IT"/>
        </w:rPr>
        <w:t>, figlio dell'ultimo re di Francia Luigi Filippo, e della sua vita straordinaria. Principale collezionista del suo tempo, il principe ereditò il castello di Chantilly e lo trasformò in una vetrina per i suoi numerosi capolavori e manoscritti di valore inestimabile. La sua collezione di opere d'arte del tardo Medioevo e del primo Rinascimento fino al XIX secolo è la seconda più grande di Francia. Il castello, il museo e le collezioni sono stati lasciati in eredità all'Institut de France, suo attuale proprietario, nel 1886. Più di 546.000 persone hanno visitato il Castello di Chantilly nel 2024.</w:t>
      </w:r>
    </w:p>
    <w:p w14:paraId="61660B5F" w14:textId="77777777" w:rsidR="003E3F91" w:rsidRPr="00207C73" w:rsidRDefault="003E3F91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1E0E2698" w14:textId="4275E89B" w:rsidR="006B36B2" w:rsidRPr="00207C73" w:rsidRDefault="7A054C5B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AXA XL </w:t>
      </w:r>
    </w:p>
    <w:p w14:paraId="1FEB66D1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>AXA XL Insurance è la divisione P&amp;C (</w:t>
      </w:r>
      <w:proofErr w:type="spellStart"/>
      <w:r w:rsidRPr="00207C73">
        <w:rPr>
          <w:rFonts w:ascii="Apercu" w:eastAsia="Apercu" w:hAnsi="Apercu" w:cs="Apercu"/>
          <w:lang w:val="it-IT"/>
        </w:rPr>
        <w:t>Property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&amp; </w:t>
      </w:r>
      <w:proofErr w:type="spellStart"/>
      <w:r w:rsidRPr="00207C73">
        <w:rPr>
          <w:rFonts w:ascii="Apercu" w:eastAsia="Apercu" w:hAnsi="Apercu" w:cs="Apercu"/>
          <w:lang w:val="it-IT"/>
        </w:rPr>
        <w:t>Casualty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) e </w:t>
      </w:r>
      <w:proofErr w:type="spellStart"/>
      <w:r w:rsidRPr="00207C73">
        <w:rPr>
          <w:rFonts w:ascii="Apercu" w:eastAsia="Apercu" w:hAnsi="Apercu" w:cs="Apercu"/>
          <w:lang w:val="it-IT"/>
        </w:rPr>
        <w:t>specialty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risk di AXA, nota per risolvere anche i rischi più complessi. AXA XL offre soluzioni e servizi assicurativi tradizionali e innovativi in oltre 200 Paesi e territori. </w:t>
      </w:r>
    </w:p>
    <w:p w14:paraId="24D43259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7B9C52AD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Nell'ambito della sua offerta di rischi speciali, AXA XL protegge una serie di oggetti, tra cui opere d'arte, antichità, gioielli, orologi, auto d'epoca, pietre preziose grezze e lucidate e lingotti, di età compresa tra migliaia di anni e settimane. </w:t>
      </w:r>
    </w:p>
    <w:p w14:paraId="371CA897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617C785A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Negli ultimi 50 anni e fino al futuro, AXA XL, leader mondiale nell'assicurazione di oggetti d'arte e specie, ha continuato e continuerà a ridefinire il modo in cui serve e assiste i suoi clienti collezionisti, musei, aziende, gallerie, conservatori e artisti in Europa, Regno Unito, Americhe, Asia e Pacifico, con una sincera considerazione per il modo in cui gli oggetti di valore sono assicurati e il patrimonio culturale è protetto. </w:t>
      </w:r>
    </w:p>
    <w:p w14:paraId="7F220A2E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699750FC" w14:textId="4F2A7BD9" w:rsidR="3DFB1587" w:rsidRPr="00207C73" w:rsidRDefault="7BF63AFD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INFORMAZIONI SU AON</w:t>
      </w:r>
    </w:p>
    <w:p w14:paraId="32870782" w14:textId="66BB3A90" w:rsidR="3DFB1587" w:rsidRPr="00207C73" w:rsidRDefault="7BF63AFD" w:rsidP="4858AD89">
      <w:pPr>
        <w:spacing w:after="0"/>
        <w:rPr>
          <w:rFonts w:ascii="Apercu" w:eastAsia="Apercu" w:hAnsi="Apercu" w:cs="Apercu"/>
          <w:color w:val="212121"/>
          <w:lang w:val="it-IT"/>
        </w:rPr>
      </w:pPr>
      <w:hyperlink r:id="rId11">
        <w:r w:rsidRPr="00207C73">
          <w:rPr>
            <w:rStyle w:val="Collegamentoipertestuale"/>
            <w:rFonts w:ascii="Apercu" w:eastAsia="Apercu" w:hAnsi="Apercu" w:cs="Apercu"/>
            <w:color w:val="96607D"/>
            <w:lang w:val="it-IT"/>
          </w:rPr>
          <w:t xml:space="preserve">Aon plc </w:t>
        </w:r>
      </w:hyperlink>
      <w:r w:rsidRPr="00207C73">
        <w:rPr>
          <w:rFonts w:ascii="Apercu" w:eastAsia="Apercu" w:hAnsi="Apercu" w:cs="Apercu"/>
          <w:color w:val="212121"/>
          <w:lang w:val="it-IT"/>
        </w:rPr>
        <w:t xml:space="preserve">(NYSE: AON) esiste per dare forma a decisioni migliori, per proteggere e arricchire la vita delle persone in tutto il mondo. Grazie a una visione analitica attuabile, a un'esperienza integrata a livello globale nel capitale di rischio e nel capitale umano e a soluzioni pertinenti a livello locale, i nostri colleghi forniscono ai clienti in oltre 120 Paesi la chiarezza e la fiducia necessarie per prendere decisioni migliori in materia di rischi e persone, che contribuiscono a proteggere e a far crescere le loro aziende. </w:t>
      </w:r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Seguite Aon su </w:t>
      </w:r>
      <w:hyperlink r:id="rId12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>LinkedIn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, </w:t>
      </w:r>
      <w:hyperlink r:id="rId13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>X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, </w:t>
      </w:r>
      <w:hyperlink r:id="rId14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 xml:space="preserve">Facebook 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e </w:t>
      </w:r>
      <w:hyperlink r:id="rId15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>Instagram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. Rimanete aggiornati visitando </w:t>
      </w:r>
      <w:hyperlink r:id="rId16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 xml:space="preserve">la newsroom 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 xml:space="preserve">di Aon e iscrivetevi agli avvisi di notizie </w:t>
      </w:r>
      <w:hyperlink r:id="rId17">
        <w:r w:rsidRPr="00207C73">
          <w:rPr>
            <w:rStyle w:val="Collegamentoipertestuale"/>
            <w:rFonts w:ascii="Apercu" w:eastAsia="Apercu" w:hAnsi="Apercu" w:cs="Apercu"/>
            <w:color w:val="000000" w:themeColor="text1"/>
            <w:lang w:val="it-IT"/>
          </w:rPr>
          <w:t>qui</w:t>
        </w:r>
      </w:hyperlink>
      <w:r w:rsidRPr="00207C73">
        <w:rPr>
          <w:rFonts w:ascii="Apercu" w:eastAsia="Apercu" w:hAnsi="Apercu" w:cs="Apercu"/>
          <w:color w:val="000000" w:themeColor="text1"/>
          <w:lang w:val="it-IT"/>
        </w:rPr>
        <w:t>.</w:t>
      </w:r>
    </w:p>
    <w:p w14:paraId="7FEAC161" w14:textId="6A409F22" w:rsidR="4858AD89" w:rsidRPr="00207C73" w:rsidRDefault="4858AD89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57ED7FB8" w14:textId="41E7C508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TEFAF  </w:t>
      </w:r>
    </w:p>
    <w:p w14:paraId="4D499D2B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TEFAF è una fondazione senza scopo di lucro che promuove la competenza, l'eccellenza e la diversità nella comunità artistica globale. Lo dimostrano gli espositori selezionati per le sue due fiere, che si </w:t>
      </w:r>
      <w:r w:rsidRPr="00207C73">
        <w:rPr>
          <w:rFonts w:ascii="Apercu" w:eastAsia="Apercu" w:hAnsi="Apercu" w:cs="Apercu"/>
          <w:lang w:val="it-IT"/>
        </w:rPr>
        <w:lastRenderedPageBreak/>
        <w:t>tengono ogni anno a Maastricht e a New York. TEFAF è una guida esperta per collezionisti privati e istituzionali, che ispira gli amanti dell'arte e gli acquirenti di tutto il mondo.  </w:t>
      </w:r>
    </w:p>
    <w:p w14:paraId="1C1F66F8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  </w:t>
      </w:r>
    </w:p>
    <w:p w14:paraId="30A973FD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6FD3892C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# # # </w:t>
      </w:r>
    </w:p>
    <w:p w14:paraId="273BACE3" w14:textId="45F0E9D9" w:rsidR="00524E95" w:rsidRPr="00207C73" w:rsidRDefault="00524E95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1D6DF097" w14:textId="77777777" w:rsidR="00524E95" w:rsidRPr="00207C73" w:rsidRDefault="00524E95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09D58E00" w14:textId="376449BF" w:rsidR="006B36B2" w:rsidRPr="00207C73" w:rsidRDefault="182161E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CONTATTI STAMPA  </w:t>
      </w:r>
    </w:p>
    <w:p w14:paraId="60B53CF6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23F09497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GLOBALE</w:t>
      </w:r>
      <w:r w:rsidR="006B36B2" w:rsidRPr="00207C73">
        <w:rPr>
          <w:lang w:val="it-IT"/>
        </w:rPr>
        <w:tab/>
      </w:r>
      <w:r w:rsidR="006B36B2" w:rsidRPr="00207C73">
        <w:rPr>
          <w:lang w:val="it-IT"/>
        </w:rPr>
        <w:tab/>
      </w:r>
      <w:r w:rsidR="006B36B2" w:rsidRPr="00207C73">
        <w:rPr>
          <w:lang w:val="it-IT"/>
        </w:rPr>
        <w:tab/>
      </w:r>
      <w:r w:rsidR="006B36B2" w:rsidRPr="00207C73">
        <w:rPr>
          <w:lang w:val="it-IT"/>
        </w:rPr>
        <w:tab/>
      </w:r>
      <w:r w:rsidR="006B36B2" w:rsidRPr="00207C73">
        <w:rPr>
          <w:lang w:val="it-IT"/>
        </w:rPr>
        <w:tab/>
      </w:r>
    </w:p>
    <w:p w14:paraId="5F813BEC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>Responsabile delle comunicazioni  </w:t>
      </w:r>
    </w:p>
    <w:p w14:paraId="7BE4A91E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43F0C531">
        <w:rPr>
          <w:rFonts w:ascii="Apercu" w:eastAsia="Apercu" w:hAnsi="Apercu" w:cs="Apercu"/>
          <w:lang w:val="it-IT"/>
        </w:rPr>
        <w:t xml:space="preserve">Magda Grigorian </w:t>
      </w:r>
      <w:hyperlink r:id="rId18">
        <w:r w:rsidRPr="43F0C531">
          <w:rPr>
            <w:rStyle w:val="Collegamentoipertestuale"/>
            <w:rFonts w:ascii="Apercu" w:eastAsia="Apercu" w:hAnsi="Apercu" w:cs="Apercu"/>
            <w:lang w:val="it-IT"/>
          </w:rPr>
          <w:t>magda.grigorian@tefaf.com</w:t>
        </w:r>
      </w:hyperlink>
    </w:p>
    <w:p w14:paraId="6028B04C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lang w:val="it-IT"/>
        </w:rPr>
      </w:pPr>
    </w:p>
    <w:p w14:paraId="0E38E2AE" w14:textId="52E12C16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Coordinatore PR </w:t>
      </w:r>
    </w:p>
    <w:p w14:paraId="375CED93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Mirthe Sportel | </w:t>
      </w:r>
      <w:hyperlink r:id="rId19">
        <w:r w:rsidRPr="00207C73">
          <w:rPr>
            <w:rStyle w:val="Collegamentoipertestuale"/>
            <w:rFonts w:ascii="Apercu" w:eastAsia="Apercu" w:hAnsi="Apercu" w:cs="Apercu"/>
            <w:lang w:val="it-IT"/>
          </w:rPr>
          <w:t>mirthe.sportel@tefaf.com</w:t>
        </w:r>
      </w:hyperlink>
    </w:p>
    <w:p w14:paraId="0312FB5F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0A420C42" w14:textId="77777777" w:rsidR="006B36B2" w:rsidRPr="000E295C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nl-NL"/>
        </w:rPr>
      </w:pPr>
      <w:r w:rsidRPr="43F0C531">
        <w:rPr>
          <w:rFonts w:ascii="Apercu" w:eastAsia="Apercu" w:hAnsi="Apercu" w:cs="Apercu"/>
          <w:b/>
          <w:bCs/>
          <w:lang w:val="nl-NL"/>
        </w:rPr>
        <w:t xml:space="preserve">BELGIO / </w:t>
      </w:r>
    </w:p>
    <w:p w14:paraId="22DD01EB" w14:textId="77777777" w:rsidR="006B36B2" w:rsidRPr="000E295C" w:rsidRDefault="3952F03A" w:rsidP="4858AD89">
      <w:pPr>
        <w:spacing w:after="0" w:line="240" w:lineRule="auto"/>
        <w:rPr>
          <w:rFonts w:ascii="Apercu" w:eastAsia="Apercu" w:hAnsi="Apercu" w:cs="Apercu"/>
          <w:lang w:val="nl-NL"/>
        </w:rPr>
      </w:pPr>
      <w:r w:rsidRPr="43F0C531">
        <w:rPr>
          <w:rFonts w:ascii="Apercu" w:eastAsia="Apercu" w:hAnsi="Apercu" w:cs="Apercu"/>
          <w:lang w:val="nl-NL"/>
        </w:rPr>
        <w:t xml:space="preserve">Charlotte De Bruijn | </w:t>
      </w:r>
      <w:r>
        <w:fldChar w:fldCharType="begin"/>
      </w:r>
      <w:r w:rsidRPr="00207C73">
        <w:rPr>
          <w:lang w:val="it-IT"/>
        </w:rPr>
        <w:instrText>HYPERLINK "mailto:charlotte@covered-agency.com" \h</w:instrText>
      </w:r>
      <w:r>
        <w:fldChar w:fldCharType="separate"/>
      </w:r>
      <w:r w:rsidRPr="43F0C531">
        <w:rPr>
          <w:rStyle w:val="Collegamentoipertestuale"/>
          <w:rFonts w:ascii="Apercu" w:eastAsia="Apercu" w:hAnsi="Apercu" w:cs="Apercu"/>
          <w:lang w:val="nl-NL"/>
        </w:rPr>
        <w:t>charlotte@covered-agency.com</w:t>
      </w:r>
      <w:r>
        <w:fldChar w:fldCharType="end"/>
      </w:r>
    </w:p>
    <w:p w14:paraId="139F58D9" w14:textId="77777777" w:rsidR="006B36B2" w:rsidRPr="000E295C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nl-NL"/>
        </w:rPr>
      </w:pPr>
    </w:p>
    <w:p w14:paraId="6320482C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FRANCIA / MONACO / </w:t>
      </w:r>
    </w:p>
    <w:p w14:paraId="687D9F2E" w14:textId="56C806FB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proofErr w:type="spellStart"/>
      <w:r w:rsidRPr="00207C73">
        <w:rPr>
          <w:rFonts w:ascii="Apercu" w:eastAsia="Apercu" w:hAnsi="Apercu" w:cs="Apercu"/>
          <w:lang w:val="it-IT"/>
        </w:rPr>
        <w:t>Gaëlle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de </w:t>
      </w:r>
      <w:proofErr w:type="spellStart"/>
      <w:r w:rsidRPr="00207C73">
        <w:rPr>
          <w:rFonts w:ascii="Apercu" w:eastAsia="Apercu" w:hAnsi="Apercu" w:cs="Apercu"/>
          <w:lang w:val="it-IT"/>
        </w:rPr>
        <w:t>Bernède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</w:t>
      </w:r>
      <w:hyperlink r:id="rId20">
        <w:proofErr w:type="spellStart"/>
        <w:r w:rsidR="58AF51E0" w:rsidRPr="00207C73">
          <w:rPr>
            <w:rStyle w:val="Collegamentoipertestuale"/>
            <w:rFonts w:ascii="Apercu" w:eastAsia="Apercu" w:hAnsi="Apercu" w:cs="Apercu"/>
            <w:lang w:val="it-IT"/>
          </w:rPr>
          <w:t>contact@gbcom.media</w:t>
        </w:r>
        <w:proofErr w:type="spellEnd"/>
      </w:hyperlink>
    </w:p>
    <w:p w14:paraId="36508C1E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4B1C1DA9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 xml:space="preserve">GERMANIA / AUSTRIA / SVIZZERA </w:t>
      </w:r>
    </w:p>
    <w:p w14:paraId="10AAB02B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43F0C531">
        <w:rPr>
          <w:rFonts w:ascii="Apercu" w:eastAsia="Apercu" w:hAnsi="Apercu" w:cs="Apercu"/>
          <w:lang w:val="it-IT"/>
        </w:rPr>
        <w:t xml:space="preserve">Britta Fischer | </w:t>
      </w:r>
      <w:hyperlink r:id="rId21">
        <w:r w:rsidRPr="43F0C531">
          <w:rPr>
            <w:rStyle w:val="Collegamentoipertestuale"/>
            <w:rFonts w:ascii="Apercu" w:eastAsia="Apercu" w:hAnsi="Apercu" w:cs="Apercu"/>
            <w:lang w:val="it-IT"/>
          </w:rPr>
          <w:t>bfpr@brittafischer-pr.com</w:t>
        </w:r>
      </w:hyperlink>
    </w:p>
    <w:p w14:paraId="7F3517F1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32E46CD7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00304A5A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43F0C531">
        <w:rPr>
          <w:rFonts w:ascii="Apercu" w:eastAsia="Apercu" w:hAnsi="Apercu" w:cs="Apercu"/>
          <w:lang w:val="it-IT"/>
        </w:rPr>
        <w:t xml:space="preserve">Roberta Barbaro </w:t>
      </w:r>
      <w:hyperlink r:id="rId22">
        <w:r w:rsidRPr="43F0C531">
          <w:rPr>
            <w:rStyle w:val="Collegamentoipertestuale"/>
            <w:rFonts w:ascii="Apercu" w:eastAsia="Apercu" w:hAnsi="Apercu" w:cs="Apercu"/>
            <w:lang w:val="it-IT"/>
          </w:rPr>
          <w:t>roberta@studioesseci.net</w:t>
        </w:r>
      </w:hyperlink>
    </w:p>
    <w:p w14:paraId="57A114CB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59A78F21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PAESI BASSI  </w:t>
      </w:r>
    </w:p>
    <w:p w14:paraId="0C2AD5FC" w14:textId="77777777" w:rsidR="006B36B2" w:rsidRPr="000E295C" w:rsidRDefault="3952F03A" w:rsidP="4858AD89">
      <w:pPr>
        <w:spacing w:after="0" w:line="240" w:lineRule="auto"/>
        <w:rPr>
          <w:rFonts w:ascii="Apercu" w:eastAsia="Apercu" w:hAnsi="Apercu" w:cs="Apercu"/>
          <w:lang w:val="nl-NL"/>
        </w:rPr>
      </w:pPr>
      <w:r w:rsidRPr="43F0C531">
        <w:rPr>
          <w:rFonts w:ascii="Apercu" w:eastAsia="Apercu" w:hAnsi="Apercu" w:cs="Apercu"/>
          <w:lang w:val="nl-NL"/>
        </w:rPr>
        <w:t xml:space="preserve">Noepy Testa | </w:t>
      </w:r>
      <w:r>
        <w:fldChar w:fldCharType="begin"/>
      </w:r>
      <w:r w:rsidRPr="00207C73">
        <w:rPr>
          <w:lang w:val="it-IT"/>
        </w:rPr>
        <w:instrText>HYPERLINK "mailto:noepy@entesta.nl" \h</w:instrText>
      </w:r>
      <w:r>
        <w:fldChar w:fldCharType="separate"/>
      </w:r>
      <w:r w:rsidRPr="43F0C531">
        <w:rPr>
          <w:rStyle w:val="Collegamentoipertestuale"/>
          <w:rFonts w:ascii="Apercu" w:eastAsia="Apercu" w:hAnsi="Apercu" w:cs="Apercu"/>
          <w:lang w:val="nl-NL"/>
        </w:rPr>
        <w:t>noepy@entesta.nl</w:t>
      </w:r>
      <w:r>
        <w:fldChar w:fldCharType="end"/>
      </w:r>
      <w:r w:rsidR="006B36B2" w:rsidRPr="000E295C">
        <w:rPr>
          <w:lang w:val="nl-NL"/>
        </w:rPr>
        <w:br/>
      </w:r>
      <w:r w:rsidRPr="43F0C531">
        <w:rPr>
          <w:rFonts w:ascii="Apercu" w:eastAsia="Apercu" w:hAnsi="Apercu" w:cs="Apercu"/>
          <w:lang w:val="nl-NL"/>
        </w:rPr>
        <w:t xml:space="preserve">Heidi Vandamme | </w:t>
      </w:r>
      <w:r>
        <w:fldChar w:fldCharType="begin"/>
      </w:r>
      <w:r w:rsidRPr="00207C73">
        <w:rPr>
          <w:lang w:val="it-IT"/>
        </w:rPr>
        <w:instrText>HYPERLINK "mailto:info@bureauheidivandamme.nl" \h</w:instrText>
      </w:r>
      <w:r>
        <w:fldChar w:fldCharType="separate"/>
      </w:r>
      <w:r w:rsidRPr="43F0C531">
        <w:rPr>
          <w:rStyle w:val="Collegamentoipertestuale"/>
          <w:rFonts w:ascii="Apercu" w:eastAsia="Apercu" w:hAnsi="Apercu" w:cs="Apercu"/>
          <w:lang w:val="nl-NL"/>
        </w:rPr>
        <w:t>info@bureauheidivandamme.nl</w:t>
      </w:r>
      <w:r>
        <w:fldChar w:fldCharType="end"/>
      </w:r>
    </w:p>
    <w:p w14:paraId="625FD4B9" w14:textId="77777777" w:rsidR="006B36B2" w:rsidRPr="000E295C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nl-NL"/>
        </w:rPr>
      </w:pPr>
    </w:p>
    <w:p w14:paraId="1170B58C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SPAGNA  </w:t>
      </w:r>
    </w:p>
    <w:p w14:paraId="2BF16466" w14:textId="77777777" w:rsidR="006B36B2" w:rsidRPr="000E295C" w:rsidRDefault="3952F03A" w:rsidP="4858AD89">
      <w:pPr>
        <w:spacing w:after="0" w:line="240" w:lineRule="auto"/>
        <w:rPr>
          <w:rFonts w:ascii="Apercu" w:eastAsia="Apercu" w:hAnsi="Apercu" w:cs="Apercu"/>
          <w:lang w:val="nl-NL"/>
        </w:rPr>
      </w:pPr>
      <w:r w:rsidRPr="000E295C">
        <w:rPr>
          <w:rFonts w:ascii="Apercu" w:eastAsia="Apercu" w:hAnsi="Apercu" w:cs="Apercu"/>
          <w:lang w:val="nl-NL"/>
        </w:rPr>
        <w:t xml:space="preserve">Julián Hernández Miranda | </w:t>
      </w:r>
      <w:r>
        <w:fldChar w:fldCharType="begin"/>
      </w:r>
      <w:r w:rsidRPr="00207C73">
        <w:rPr>
          <w:lang w:val="it-IT"/>
        </w:rPr>
        <w:instrText>HYPERLINK "mailto:julian.hdez58@gmail.com" \h</w:instrText>
      </w:r>
      <w:r>
        <w:fldChar w:fldCharType="separate"/>
      </w:r>
      <w:r w:rsidRPr="000E295C">
        <w:rPr>
          <w:rStyle w:val="Collegamentoipertestuale"/>
          <w:rFonts w:ascii="Apercu" w:eastAsia="Apercu" w:hAnsi="Apercu" w:cs="Apercu"/>
          <w:lang w:val="nl-NL"/>
        </w:rPr>
        <w:t>julian.hdez58@gmail.com</w:t>
      </w:r>
      <w:r>
        <w:fldChar w:fldCharType="end"/>
      </w:r>
      <w:r w:rsidRPr="000E295C">
        <w:rPr>
          <w:rFonts w:ascii="Apercu" w:eastAsia="Apercu" w:hAnsi="Apercu" w:cs="Apercu"/>
          <w:lang w:val="nl-NL"/>
        </w:rPr>
        <w:t>  </w:t>
      </w:r>
    </w:p>
    <w:p w14:paraId="66A55ACB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 xml:space="preserve">Héctor San José </w:t>
      </w:r>
      <w:hyperlink r:id="rId23">
        <w:r w:rsidRPr="00207C73">
          <w:rPr>
            <w:rStyle w:val="Collegamentoipertestuale"/>
            <w:rFonts w:ascii="Apercu" w:eastAsia="Apercu" w:hAnsi="Apercu" w:cs="Apercu"/>
            <w:lang w:val="it-IT"/>
          </w:rPr>
          <w:t>hectorsanjose@live.com</w:t>
        </w:r>
      </w:hyperlink>
      <w:r w:rsidRPr="00207C73">
        <w:rPr>
          <w:rFonts w:ascii="Apercu" w:eastAsia="Apercu" w:hAnsi="Apercu" w:cs="Apercu"/>
          <w:lang w:val="it-IT"/>
        </w:rPr>
        <w:t>  </w:t>
      </w:r>
    </w:p>
    <w:p w14:paraId="7099115C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3B3BDAAD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REGNO UNITO  </w:t>
      </w:r>
    </w:p>
    <w:p w14:paraId="0240FA0A" w14:textId="209361DB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lang w:val="it-IT"/>
        </w:rPr>
      </w:pPr>
      <w:r w:rsidRPr="00207C73">
        <w:rPr>
          <w:rFonts w:ascii="Apercu" w:eastAsia="Apercu" w:hAnsi="Apercu" w:cs="Apercu"/>
          <w:lang w:val="it-IT"/>
        </w:rPr>
        <w:t>C</w:t>
      </w:r>
      <w:r w:rsidR="000E295C" w:rsidRPr="00207C73">
        <w:rPr>
          <w:rFonts w:ascii="Apercu" w:eastAsia="Apercu" w:hAnsi="Apercu" w:cs="Apercu"/>
          <w:lang w:val="it-IT"/>
        </w:rPr>
        <w:t xml:space="preserve">ultural </w:t>
      </w:r>
      <w:proofErr w:type="spellStart"/>
      <w:r w:rsidR="000E295C" w:rsidRPr="00207C73">
        <w:rPr>
          <w:rFonts w:ascii="Apercu" w:eastAsia="Apercu" w:hAnsi="Apercu" w:cs="Apercu"/>
          <w:lang w:val="it-IT"/>
        </w:rPr>
        <w:t>C</w:t>
      </w:r>
      <w:r w:rsidRPr="00207C73">
        <w:rPr>
          <w:rFonts w:ascii="Apercu" w:eastAsia="Apercu" w:hAnsi="Apercu" w:cs="Apercu"/>
          <w:lang w:val="it-IT"/>
        </w:rPr>
        <w:t>omunica</w:t>
      </w:r>
      <w:r w:rsidR="000E295C" w:rsidRPr="00207C73">
        <w:rPr>
          <w:rFonts w:ascii="Apercu" w:eastAsia="Apercu" w:hAnsi="Apercu" w:cs="Apercu"/>
          <w:lang w:val="it-IT"/>
        </w:rPr>
        <w:t>tions</w:t>
      </w:r>
      <w:proofErr w:type="spellEnd"/>
      <w:r w:rsidRPr="00207C73">
        <w:rPr>
          <w:rFonts w:ascii="Apercu" w:eastAsia="Apercu" w:hAnsi="Apercu" w:cs="Apercu"/>
          <w:lang w:val="it-IT"/>
        </w:rPr>
        <w:t xml:space="preserve"> | </w:t>
      </w:r>
      <w:hyperlink r:id="rId24">
        <w:r w:rsidRPr="00207C73">
          <w:rPr>
            <w:rStyle w:val="Collegamentoipertestuale"/>
            <w:rFonts w:ascii="Apercu" w:eastAsia="Apercu" w:hAnsi="Apercu" w:cs="Apercu"/>
            <w:lang w:val="it-IT"/>
          </w:rPr>
          <w:t>tefaf@culturalcomms.co.uk</w:t>
        </w:r>
      </w:hyperlink>
    </w:p>
    <w:p w14:paraId="11C50749" w14:textId="77777777" w:rsidR="006B36B2" w:rsidRPr="00207C73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</w:p>
    <w:p w14:paraId="4EB53118" w14:textId="77777777" w:rsidR="006B36B2" w:rsidRPr="00207C73" w:rsidRDefault="3952F03A" w:rsidP="4858AD89">
      <w:pPr>
        <w:spacing w:after="0" w:line="240" w:lineRule="auto"/>
        <w:rPr>
          <w:rFonts w:ascii="Apercu" w:eastAsia="Apercu" w:hAnsi="Apercu" w:cs="Apercu"/>
          <w:b/>
          <w:bCs/>
          <w:lang w:val="it-IT"/>
        </w:rPr>
      </w:pPr>
      <w:r w:rsidRPr="00207C73">
        <w:rPr>
          <w:rFonts w:ascii="Apercu" w:eastAsia="Apercu" w:hAnsi="Apercu" w:cs="Apercu"/>
          <w:b/>
          <w:bCs/>
          <w:lang w:val="it-IT"/>
        </w:rPr>
        <w:t>STATI UNITI D'AMERICA  </w:t>
      </w:r>
    </w:p>
    <w:p w14:paraId="182951B1" w14:textId="77777777" w:rsidR="006B36B2" w:rsidRPr="00AC43F8" w:rsidRDefault="3952F03A" w:rsidP="4858AD89">
      <w:pPr>
        <w:spacing w:after="0" w:line="240" w:lineRule="auto"/>
        <w:rPr>
          <w:rFonts w:ascii="Apercu" w:eastAsia="Apercu" w:hAnsi="Apercu" w:cs="Apercu"/>
          <w:lang w:val="en-GB"/>
        </w:rPr>
      </w:pPr>
      <w:r w:rsidRPr="43F0C531">
        <w:rPr>
          <w:rFonts w:ascii="Apercu" w:eastAsia="Apercu" w:hAnsi="Apercu" w:cs="Apercu"/>
          <w:lang w:val="en-GB"/>
        </w:rPr>
        <w:t xml:space="preserve">Sharp Think | </w:t>
      </w:r>
      <w:hyperlink r:id="rId25">
        <w:r w:rsidRPr="43F0C531">
          <w:rPr>
            <w:rStyle w:val="Collegamentoipertestuale"/>
            <w:rFonts w:ascii="Apercu" w:eastAsia="Apercu" w:hAnsi="Apercu" w:cs="Apercu"/>
            <w:lang w:val="en-GB"/>
          </w:rPr>
          <w:t>tefaf@sharpthink.com</w:t>
        </w:r>
      </w:hyperlink>
    </w:p>
    <w:p w14:paraId="042FC354" w14:textId="77777777" w:rsidR="006B36B2" w:rsidRPr="00AC43F8" w:rsidRDefault="006B36B2" w:rsidP="4858AD89">
      <w:pPr>
        <w:spacing w:after="0" w:line="240" w:lineRule="auto"/>
        <w:rPr>
          <w:rFonts w:ascii="Apercu" w:eastAsia="Apercu" w:hAnsi="Apercu" w:cs="Apercu"/>
          <w:b/>
          <w:bCs/>
          <w:lang w:val="en-GB"/>
        </w:rPr>
      </w:pPr>
    </w:p>
    <w:p w14:paraId="79954DD9" w14:textId="4FAA8083" w:rsidR="00F775BE" w:rsidRDefault="277A4322" w:rsidP="43F0C531">
      <w:pPr>
        <w:spacing w:after="0" w:line="240" w:lineRule="auto"/>
        <w:rPr>
          <w:rFonts w:ascii="Apercu" w:eastAsia="Apercu" w:hAnsi="Apercu" w:cs="Apercu"/>
        </w:rPr>
      </w:pPr>
      <w:r>
        <w:rPr>
          <w:noProof/>
        </w:rPr>
        <w:lastRenderedPageBreak/>
        <w:drawing>
          <wp:inline distT="0" distB="0" distL="0" distR="0" wp14:anchorId="4841D9C8" wp14:editId="6904006A">
            <wp:extent cx="1581155" cy="1619256"/>
            <wp:effectExtent l="0" t="0" r="0" b="0"/>
            <wp:docPr id="947444773" name="Picture 94744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44477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b="607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5" cy="16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7770" w14:textId="77777777" w:rsidR="00F775BE" w:rsidRDefault="00F775BE" w:rsidP="4858AD89">
      <w:pPr>
        <w:spacing w:after="0" w:line="240" w:lineRule="auto"/>
        <w:rPr>
          <w:rFonts w:ascii="Apercu" w:eastAsia="Apercu" w:hAnsi="Apercu" w:cs="Apercu"/>
          <w:b/>
          <w:bCs/>
          <w:color w:val="00B050"/>
        </w:rPr>
      </w:pPr>
    </w:p>
    <w:p w14:paraId="5E6AFC65" w14:textId="77777777" w:rsidR="00F775BE" w:rsidRDefault="3A74291F" w:rsidP="4858AD89">
      <w:pPr>
        <w:spacing w:after="0" w:line="240" w:lineRule="auto"/>
        <w:rPr>
          <w:rFonts w:ascii="Apercu" w:eastAsia="Apercu" w:hAnsi="Apercu" w:cs="Apercu"/>
          <w:b/>
          <w:bCs/>
          <w:color w:val="000000"/>
        </w:rPr>
      </w:pPr>
      <w:r w:rsidRPr="43F0C531">
        <w:rPr>
          <w:rFonts w:ascii="Apercu" w:eastAsia="Apercu" w:hAnsi="Apercu" w:cs="Apercu"/>
          <w:b/>
          <w:bCs/>
          <w:color w:val="000000" w:themeColor="text1"/>
        </w:rPr>
        <w:t xml:space="preserve">PARTNER PRINCIPALE GLOBALE TEFAF </w:t>
      </w:r>
    </w:p>
    <w:p w14:paraId="4961A082" w14:textId="77777777" w:rsidR="00F775BE" w:rsidRDefault="3A74291F" w:rsidP="4858AD89">
      <w:pPr>
        <w:spacing w:after="0" w:line="240" w:lineRule="auto"/>
        <w:rPr>
          <w:rFonts w:ascii="Apercu" w:eastAsia="Apercu" w:hAnsi="Apercu" w:cs="Apercu"/>
          <w:b/>
          <w:bCs/>
          <w:color w:val="000000"/>
        </w:rPr>
      </w:pPr>
      <w:r w:rsidRPr="43F0C531">
        <w:rPr>
          <w:rFonts w:ascii="Apercu" w:eastAsia="Apercu" w:hAnsi="Apercu" w:cs="Apercu"/>
          <w:b/>
          <w:bCs/>
          <w:color w:val="000000" w:themeColor="text1"/>
        </w:rPr>
        <w:t xml:space="preserve">&amp; SUMMIT TEFAF </w:t>
      </w:r>
    </w:p>
    <w:p w14:paraId="5A224295" w14:textId="73A7708A" w:rsidR="00B972AE" w:rsidRPr="006B36B2" w:rsidRDefault="00B972AE" w:rsidP="4858AD89">
      <w:pPr>
        <w:spacing w:after="0" w:line="240" w:lineRule="auto"/>
        <w:rPr>
          <w:rFonts w:ascii="Apercu" w:eastAsia="Apercu" w:hAnsi="Apercu" w:cs="Apercu"/>
          <w:b/>
          <w:bCs/>
          <w:lang w:val="en-GB"/>
        </w:rPr>
      </w:pPr>
    </w:p>
    <w:p w14:paraId="71E56CED" w14:textId="212FC026" w:rsidR="7FA44D4C" w:rsidRDefault="7DD7CF12" w:rsidP="4858AD89">
      <w:pPr>
        <w:spacing w:after="0" w:line="240" w:lineRule="auto"/>
        <w:rPr>
          <w:rFonts w:ascii="Apercu" w:eastAsia="Apercu" w:hAnsi="Apercu" w:cs="Apercu"/>
          <w:b/>
          <w:bCs/>
          <w:lang w:val="en-GB"/>
        </w:rPr>
      </w:pPr>
      <w:r>
        <w:rPr>
          <w:noProof/>
        </w:rPr>
        <w:drawing>
          <wp:inline distT="0" distB="0" distL="0" distR="0" wp14:anchorId="2D02DF30" wp14:editId="7951BAC3">
            <wp:extent cx="1371600" cy="828675"/>
            <wp:effectExtent l="0" t="0" r="0" b="0"/>
            <wp:docPr id="640329750" name="Picture 64032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32975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5A8F" w14:textId="12888B01" w:rsidR="7FA44D4C" w:rsidRDefault="7DD7CF12" w:rsidP="4858AD89">
      <w:pPr>
        <w:spacing w:after="0" w:line="240" w:lineRule="auto"/>
        <w:rPr>
          <w:rFonts w:ascii="Apercu" w:eastAsia="Apercu" w:hAnsi="Apercu" w:cs="Apercu"/>
          <w:b/>
          <w:bCs/>
          <w:lang w:val="en-GB"/>
        </w:rPr>
      </w:pPr>
      <w:proofErr w:type="spellStart"/>
      <w:r w:rsidRPr="43F0C531">
        <w:rPr>
          <w:rFonts w:ascii="Apercu" w:eastAsia="Apercu" w:hAnsi="Apercu" w:cs="Apercu"/>
          <w:b/>
          <w:bCs/>
          <w:lang w:val="en-GB"/>
        </w:rPr>
        <w:t>Alimentato</w:t>
      </w:r>
      <w:proofErr w:type="spellEnd"/>
      <w:r w:rsidRPr="43F0C531">
        <w:rPr>
          <w:rFonts w:ascii="Apercu" w:eastAsia="Apercu" w:hAnsi="Apercu" w:cs="Apercu"/>
          <w:b/>
          <w:bCs/>
          <w:lang w:val="en-GB"/>
        </w:rPr>
        <w:t xml:space="preserve"> da AON</w:t>
      </w:r>
    </w:p>
    <w:sectPr w:rsidR="7FA44D4C" w:rsidSect="009A09A0">
      <w:headerReference w:type="default" r:id="rId28"/>
      <w:footerReference w:type="even" r:id="rId29"/>
      <w:footerReference w:type="default" r:id="rId30"/>
      <w:pgSz w:w="12240" w:h="15840"/>
      <w:pgMar w:top="74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E125C" w14:textId="77777777" w:rsidR="003A6C2A" w:rsidRDefault="003A6C2A">
      <w:pPr>
        <w:spacing w:after="0" w:line="240" w:lineRule="auto"/>
      </w:pPr>
      <w:r>
        <w:separator/>
      </w:r>
    </w:p>
  </w:endnote>
  <w:endnote w:type="continuationSeparator" w:id="0">
    <w:p w14:paraId="6E80D262" w14:textId="77777777" w:rsidR="003A6C2A" w:rsidRDefault="003A6C2A">
      <w:pPr>
        <w:spacing w:after="0" w:line="240" w:lineRule="auto"/>
      </w:pPr>
      <w:r>
        <w:continuationSeparator/>
      </w:r>
    </w:p>
  </w:endnote>
  <w:endnote w:type="continuationNotice" w:id="1">
    <w:p w14:paraId="19C84397" w14:textId="77777777" w:rsidR="003A6C2A" w:rsidRDefault="003A6C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rcu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1" w:csb1="00000000"/>
  </w:font>
  <w:font w:name="Portrait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ercu Medium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26364386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BA441A9" w14:textId="05158555" w:rsidR="00B972AE" w:rsidRDefault="00B972A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F287B5B" w14:textId="77777777" w:rsidR="00357513" w:rsidRDefault="00357513" w:rsidP="00B972AE">
    <w:pPr>
      <w:pStyle w:val="Pidipagina"/>
      <w:ind w:right="360"/>
    </w:pPr>
  </w:p>
  <w:p w14:paraId="0E9743F2" w14:textId="77777777" w:rsidR="007A75FE" w:rsidRDefault="007A75FE"/>
  <w:p w14:paraId="6CFD8A25" w14:textId="77777777" w:rsidR="007A75FE" w:rsidRDefault="007A75FE"/>
  <w:p w14:paraId="7FB6F173" w14:textId="77777777" w:rsidR="007A75FE" w:rsidRDefault="007A75FE"/>
  <w:p w14:paraId="2ADE1548" w14:textId="77777777" w:rsidR="00643B4B" w:rsidRDefault="00643B4B"/>
  <w:p w14:paraId="6E07FC3A" w14:textId="77777777" w:rsidR="00643B4B" w:rsidRDefault="00643B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Apercu" w:hAnsi="Apercu"/>
        <w:sz w:val="20"/>
        <w:szCs w:val="20"/>
      </w:rPr>
      <w:id w:val="15496619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F0D32B7" w14:textId="63A6D429" w:rsidR="00B972AE" w:rsidRPr="00B972AE" w:rsidRDefault="00B972AE">
        <w:pPr>
          <w:pStyle w:val="Pidipagina"/>
          <w:framePr w:wrap="none" w:vAnchor="text" w:hAnchor="margin" w:xAlign="right" w:y="1"/>
          <w:rPr>
            <w:rStyle w:val="Numeropagina"/>
            <w:rFonts w:ascii="Apercu" w:hAnsi="Apercu"/>
            <w:sz w:val="20"/>
            <w:szCs w:val="20"/>
          </w:rPr>
        </w:pPr>
        <w:r w:rsidRPr="00B972AE">
          <w:rPr>
            <w:rStyle w:val="Numeropagina"/>
            <w:rFonts w:ascii="Apercu" w:hAnsi="Apercu"/>
            <w:sz w:val="20"/>
            <w:szCs w:val="20"/>
          </w:rPr>
          <w:fldChar w:fldCharType="begin"/>
        </w:r>
        <w:r w:rsidRPr="00B972AE">
          <w:rPr>
            <w:rStyle w:val="Numeropagina"/>
            <w:rFonts w:ascii="Apercu" w:hAnsi="Apercu"/>
            <w:sz w:val="20"/>
            <w:szCs w:val="20"/>
          </w:rPr>
          <w:instrText xml:space="preserve"> PAGE </w:instrText>
        </w:r>
        <w:r w:rsidRPr="00B972AE">
          <w:rPr>
            <w:rStyle w:val="Numeropagina"/>
            <w:rFonts w:ascii="Apercu" w:hAnsi="Apercu"/>
            <w:sz w:val="20"/>
            <w:szCs w:val="20"/>
          </w:rPr>
          <w:fldChar w:fldCharType="separate"/>
        </w:r>
        <w:r w:rsidRPr="00B972AE">
          <w:rPr>
            <w:rStyle w:val="Numeropagina"/>
            <w:rFonts w:ascii="Apercu" w:hAnsi="Apercu"/>
            <w:noProof/>
            <w:sz w:val="20"/>
            <w:szCs w:val="20"/>
          </w:rPr>
          <w:t>1</w:t>
        </w:r>
        <w:r w:rsidRPr="00B972AE">
          <w:rPr>
            <w:rStyle w:val="Numeropagina"/>
            <w:rFonts w:ascii="Apercu" w:hAnsi="Apercu"/>
            <w:sz w:val="20"/>
            <w:szCs w:val="20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EAB264B" w:rsidRPr="00357513" w14:paraId="04D93B87" w14:textId="77777777" w:rsidTr="5EAB264B">
      <w:trPr>
        <w:trHeight w:val="300"/>
      </w:trPr>
      <w:tc>
        <w:tcPr>
          <w:tcW w:w="3120" w:type="dxa"/>
        </w:tcPr>
        <w:p w14:paraId="3D7089E3" w14:textId="58EC2AC2" w:rsidR="5EAB264B" w:rsidRPr="00357513" w:rsidRDefault="5EAB264B" w:rsidP="00B972AE">
          <w:pPr>
            <w:pStyle w:val="Intestazione"/>
            <w:ind w:left="-115" w:right="360"/>
            <w:rPr>
              <w:rFonts w:ascii="Apercu" w:hAnsi="Apercu"/>
              <w:b/>
              <w:bCs/>
            </w:rPr>
          </w:pPr>
        </w:p>
      </w:tc>
      <w:tc>
        <w:tcPr>
          <w:tcW w:w="3120" w:type="dxa"/>
        </w:tcPr>
        <w:p w14:paraId="34B348A5" w14:textId="6E6E32A9" w:rsidR="5EAB264B" w:rsidRPr="00AB0651" w:rsidRDefault="00357513" w:rsidP="00357513">
          <w:pPr>
            <w:pStyle w:val="Intestazione"/>
            <w:tabs>
              <w:tab w:val="left" w:pos="931"/>
            </w:tabs>
            <w:rPr>
              <w:rFonts w:ascii="Apercu" w:hAnsi="Apercu" w:cs="Times New Roman (Body CS)"/>
              <w:b/>
              <w:bCs/>
              <w:spacing w:val="20"/>
              <w:kern w:val="15"/>
              <w:sz w:val="20"/>
              <w:szCs w:val="20"/>
            </w:rPr>
          </w:pPr>
          <w:r w:rsidRPr="00AB0651">
            <w:rPr>
              <w:rFonts w:ascii="Apercu" w:hAnsi="Apercu" w:cs="Times New Roman (Body CS)"/>
              <w:b/>
              <w:bCs/>
              <w:spacing w:val="20"/>
              <w:kern w:val="15"/>
              <w:sz w:val="20"/>
              <w:szCs w:val="20"/>
            </w:rPr>
            <w:tab/>
            <w:t>TEFAF.COM</w:t>
          </w:r>
        </w:p>
      </w:tc>
      <w:tc>
        <w:tcPr>
          <w:tcW w:w="3120" w:type="dxa"/>
        </w:tcPr>
        <w:p w14:paraId="37390277" w14:textId="09898067" w:rsidR="5EAB264B" w:rsidRPr="00357513" w:rsidRDefault="5EAB264B" w:rsidP="5EAB264B">
          <w:pPr>
            <w:pStyle w:val="Intestazione"/>
            <w:ind w:right="-115"/>
            <w:jc w:val="right"/>
            <w:rPr>
              <w:rFonts w:ascii="Apercu" w:hAnsi="Apercu"/>
              <w:b/>
              <w:bCs/>
            </w:rPr>
          </w:pPr>
        </w:p>
      </w:tc>
    </w:tr>
  </w:tbl>
  <w:p w14:paraId="07171219" w14:textId="77777777" w:rsidR="00643B4B" w:rsidRDefault="00643B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6226E" w14:textId="77777777" w:rsidR="003A6C2A" w:rsidRDefault="003A6C2A">
      <w:pPr>
        <w:spacing w:after="0" w:line="240" w:lineRule="auto"/>
      </w:pPr>
      <w:r>
        <w:separator/>
      </w:r>
    </w:p>
  </w:footnote>
  <w:footnote w:type="continuationSeparator" w:id="0">
    <w:p w14:paraId="42B1F1B1" w14:textId="77777777" w:rsidR="003A6C2A" w:rsidRDefault="003A6C2A">
      <w:pPr>
        <w:spacing w:after="0" w:line="240" w:lineRule="auto"/>
      </w:pPr>
      <w:r>
        <w:continuationSeparator/>
      </w:r>
    </w:p>
  </w:footnote>
  <w:footnote w:type="continuationNotice" w:id="1">
    <w:p w14:paraId="5BA816BB" w14:textId="77777777" w:rsidR="003A6C2A" w:rsidRDefault="003A6C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944" w:type="dxa"/>
      <w:tblInd w:w="-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10"/>
      <w:gridCol w:w="5034"/>
    </w:tblGrid>
    <w:tr w:rsidR="0057756C" w14:paraId="6D6172AA" w14:textId="77777777" w:rsidTr="005A24F6">
      <w:trPr>
        <w:trHeight w:val="727"/>
      </w:trPr>
      <w:tc>
        <w:tcPr>
          <w:tcW w:w="5910" w:type="dxa"/>
        </w:tcPr>
        <w:p w14:paraId="2848C405" w14:textId="77777777" w:rsidR="0057756C" w:rsidRDefault="0057756C" w:rsidP="00357513">
          <w:pPr>
            <w:pStyle w:val="Intestazione"/>
            <w:rPr>
              <w:rFonts w:ascii="Portrait Regular" w:hAnsi="Portrait Regular"/>
            </w:rPr>
          </w:pPr>
          <w:r>
            <w:rPr>
              <w:rFonts w:ascii="Portrait Regular" w:hAnsi="Portrait Regular"/>
              <w:noProof/>
            </w:rPr>
            <w:drawing>
              <wp:inline distT="0" distB="0" distL="0" distR="0" wp14:anchorId="548905FF" wp14:editId="2B302245">
                <wp:extent cx="1265382" cy="386645"/>
                <wp:effectExtent l="0" t="0" r="0" b="0"/>
                <wp:docPr id="3" name="Picture 3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black background with a black square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196" cy="430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FE82D2" w14:textId="77777777" w:rsidR="000756ED" w:rsidRPr="000756ED" w:rsidRDefault="007E31EF" w:rsidP="00357513">
          <w:pPr>
            <w:pStyle w:val="Intestazione"/>
            <w:rPr>
              <w:rFonts w:ascii="Apercu" w:hAnsi="Apercu" w:cs="Times New Roman (Body CS)"/>
              <w:b/>
              <w:bCs/>
              <w:spacing w:val="20"/>
              <w:kern w:val="18"/>
              <w:sz w:val="4"/>
              <w:szCs w:val="8"/>
            </w:rPr>
          </w:pPr>
          <w:r w:rsidRPr="000756ED">
            <w:rPr>
              <w:rFonts w:ascii="Apercu" w:hAnsi="Apercu" w:cs="Times New Roman (Body CS)"/>
              <w:b/>
              <w:bCs/>
              <w:spacing w:val="20"/>
              <w:kern w:val="18"/>
              <w:sz w:val="4"/>
              <w:szCs w:val="8"/>
            </w:rPr>
            <w:t xml:space="preserve">  </w:t>
          </w:r>
        </w:p>
        <w:p w14:paraId="3C8D4C9D" w14:textId="62FA5617" w:rsidR="00EB6235" w:rsidRPr="00AB0651" w:rsidRDefault="000756ED" w:rsidP="00357513">
          <w:pPr>
            <w:pStyle w:val="Intestazione"/>
            <w:rPr>
              <w:rFonts w:ascii="Apercu Medium" w:hAnsi="Apercu Medium" w:cs="Times New Roman (Body CS)"/>
              <w:spacing w:val="20"/>
              <w:kern w:val="18"/>
            </w:rPr>
          </w:pPr>
          <w:r w:rsidRPr="00AB0651">
            <w:rPr>
              <w:rFonts w:ascii="Apercu Medium" w:hAnsi="Apercu Medium" w:cs="Times New Roman (Body CS)"/>
              <w:spacing w:val="20"/>
              <w:kern w:val="18"/>
              <w:sz w:val="15"/>
              <w:szCs w:val="14"/>
            </w:rPr>
            <w:t xml:space="preserve">  </w:t>
          </w:r>
          <w:r w:rsidR="00EB6235" w:rsidRPr="00AB0651">
            <w:rPr>
              <w:rFonts w:ascii="Apercu Medium" w:hAnsi="Apercu Medium" w:cs="Times New Roman (Body CS)"/>
              <w:spacing w:val="20"/>
              <w:kern w:val="18"/>
              <w:sz w:val="15"/>
              <w:szCs w:val="14"/>
            </w:rPr>
            <w:t>COMUNICATO STAMPA</w:t>
          </w:r>
        </w:p>
      </w:tc>
      <w:tc>
        <w:tcPr>
          <w:tcW w:w="5034" w:type="dxa"/>
        </w:tcPr>
        <w:p w14:paraId="709F8270" w14:textId="77777777" w:rsidR="00357513" w:rsidRPr="00AB0651" w:rsidRDefault="00357513" w:rsidP="00357513">
          <w:pPr>
            <w:pStyle w:val="Intestazione"/>
            <w:jc w:val="right"/>
            <w:rPr>
              <w:rFonts w:ascii="Portrait Regular" w:eastAsia="Times New Roman" w:hAnsi="Portrait Regular" w:cs="Times New Roman"/>
              <w:sz w:val="20"/>
              <w:szCs w:val="20"/>
            </w:rPr>
          </w:pPr>
          <w:proofErr w:type="spellStart"/>
          <w:r w:rsidRPr="00AB0651">
            <w:rPr>
              <w:rFonts w:ascii="Portrait Regular" w:eastAsia="Times New Roman" w:hAnsi="Portrait Regular" w:cs="Times New Roman"/>
              <w:sz w:val="20"/>
              <w:szCs w:val="20"/>
            </w:rPr>
            <w:t>Dijsselhofplantsoen</w:t>
          </w:r>
          <w:proofErr w:type="spellEnd"/>
          <w:r w:rsidRPr="00AB0651">
            <w:rPr>
              <w:rFonts w:ascii="Portrait Regular" w:eastAsia="Times New Roman" w:hAnsi="Portrait Regular" w:cs="Times New Roman"/>
              <w:sz w:val="20"/>
              <w:szCs w:val="20"/>
            </w:rPr>
            <w:t xml:space="preserve"> 14 </w:t>
          </w:r>
        </w:p>
        <w:p w14:paraId="325BE691" w14:textId="77777777" w:rsidR="00357513" w:rsidRPr="00AB0651" w:rsidRDefault="00357513" w:rsidP="00357513">
          <w:pPr>
            <w:pStyle w:val="Intestazione"/>
            <w:jc w:val="right"/>
            <w:rPr>
              <w:rFonts w:ascii="Portrait Regular" w:eastAsia="Times New Roman" w:hAnsi="Portrait Regular" w:cs="Times New Roman"/>
              <w:sz w:val="20"/>
              <w:szCs w:val="20"/>
            </w:rPr>
          </w:pPr>
          <w:r w:rsidRPr="00AB0651">
            <w:rPr>
              <w:rFonts w:ascii="Portrait Regular" w:eastAsia="Times New Roman" w:hAnsi="Portrait Regular" w:cs="Times New Roman"/>
              <w:sz w:val="20"/>
              <w:szCs w:val="20"/>
            </w:rPr>
            <w:t xml:space="preserve">1077 BL Amsterdam </w:t>
          </w:r>
        </w:p>
        <w:p w14:paraId="0AA92777" w14:textId="77777777" w:rsidR="00357513" w:rsidRPr="00AB0651" w:rsidRDefault="00357513" w:rsidP="00357513">
          <w:pPr>
            <w:pStyle w:val="Intestazione"/>
            <w:jc w:val="right"/>
            <w:rPr>
              <w:rFonts w:ascii="Portrait Regular" w:hAnsi="Portrait Regular"/>
              <w:sz w:val="18"/>
              <w:szCs w:val="18"/>
            </w:rPr>
          </w:pPr>
          <w:proofErr w:type="spellStart"/>
          <w:r w:rsidRPr="00AB0651">
            <w:rPr>
              <w:rFonts w:ascii="Portrait Regular" w:eastAsia="Times New Roman" w:hAnsi="Portrait Regular" w:cs="Times New Roman"/>
              <w:sz w:val="20"/>
              <w:szCs w:val="20"/>
            </w:rPr>
            <w:t>Paesi</w:t>
          </w:r>
          <w:proofErr w:type="spellEnd"/>
          <w:r w:rsidRPr="00AB0651">
            <w:rPr>
              <w:rFonts w:ascii="Portrait Regular" w:eastAsia="Times New Roman" w:hAnsi="Portrait Regular" w:cs="Times New Roman"/>
              <w:sz w:val="20"/>
              <w:szCs w:val="20"/>
            </w:rPr>
            <w:t xml:space="preserve"> Bassi  </w:t>
          </w:r>
        </w:p>
        <w:p w14:paraId="13C0FAC7" w14:textId="77777777" w:rsidR="0057756C" w:rsidRDefault="0057756C" w:rsidP="0057756C">
          <w:pPr>
            <w:pStyle w:val="Intestazione"/>
            <w:jc w:val="right"/>
            <w:rPr>
              <w:rFonts w:ascii="Portrait Regular" w:hAnsi="Portrait Regular"/>
            </w:rPr>
          </w:pPr>
        </w:p>
      </w:tc>
    </w:tr>
  </w:tbl>
  <w:p w14:paraId="46150118" w14:textId="77777777" w:rsidR="007A75FE" w:rsidRDefault="007A75FE"/>
  <w:p w14:paraId="36BFDDAB" w14:textId="77777777" w:rsidR="00643B4B" w:rsidRDefault="00643B4B"/>
  <w:p w14:paraId="7EF5C3A5" w14:textId="77777777" w:rsidR="00643B4B" w:rsidRDefault="00643B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revisionView w:inkAnnotations="0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2A3FF8"/>
    <w:rsid w:val="000255E8"/>
    <w:rsid w:val="00063C8C"/>
    <w:rsid w:val="000756ED"/>
    <w:rsid w:val="00092407"/>
    <w:rsid w:val="000930BF"/>
    <w:rsid w:val="00097B9A"/>
    <w:rsid w:val="000A5406"/>
    <w:rsid w:val="000C2522"/>
    <w:rsid w:val="000D352B"/>
    <w:rsid w:val="000D5A23"/>
    <w:rsid w:val="000E295C"/>
    <w:rsid w:val="000E6090"/>
    <w:rsid w:val="00181564"/>
    <w:rsid w:val="001B55E2"/>
    <w:rsid w:val="001D241C"/>
    <w:rsid w:val="001F056F"/>
    <w:rsid w:val="00207C73"/>
    <w:rsid w:val="00255094"/>
    <w:rsid w:val="00281069"/>
    <w:rsid w:val="00290BF6"/>
    <w:rsid w:val="002B37B7"/>
    <w:rsid w:val="002B4A0B"/>
    <w:rsid w:val="002F5D13"/>
    <w:rsid w:val="00304EEE"/>
    <w:rsid w:val="00311292"/>
    <w:rsid w:val="00357513"/>
    <w:rsid w:val="0036507A"/>
    <w:rsid w:val="00374301"/>
    <w:rsid w:val="00380200"/>
    <w:rsid w:val="00396489"/>
    <w:rsid w:val="003A6C2A"/>
    <w:rsid w:val="003B41F2"/>
    <w:rsid w:val="003B6331"/>
    <w:rsid w:val="003C4C7E"/>
    <w:rsid w:val="003C7093"/>
    <w:rsid w:val="003E3F91"/>
    <w:rsid w:val="004568B1"/>
    <w:rsid w:val="004B5270"/>
    <w:rsid w:val="004B6C96"/>
    <w:rsid w:val="004C09E6"/>
    <w:rsid w:val="00513FFD"/>
    <w:rsid w:val="00524E95"/>
    <w:rsid w:val="00531832"/>
    <w:rsid w:val="00567F89"/>
    <w:rsid w:val="0057756C"/>
    <w:rsid w:val="00584831"/>
    <w:rsid w:val="005864F4"/>
    <w:rsid w:val="005A24F6"/>
    <w:rsid w:val="005E0647"/>
    <w:rsid w:val="006164F2"/>
    <w:rsid w:val="00643B4B"/>
    <w:rsid w:val="00645501"/>
    <w:rsid w:val="006661E5"/>
    <w:rsid w:val="00674DCA"/>
    <w:rsid w:val="006B36B2"/>
    <w:rsid w:val="006D4D63"/>
    <w:rsid w:val="006F4996"/>
    <w:rsid w:val="00740F05"/>
    <w:rsid w:val="00753B33"/>
    <w:rsid w:val="00792E3E"/>
    <w:rsid w:val="007A75FE"/>
    <w:rsid w:val="007B679E"/>
    <w:rsid w:val="007C58B7"/>
    <w:rsid w:val="007E31EF"/>
    <w:rsid w:val="00803F44"/>
    <w:rsid w:val="00807918"/>
    <w:rsid w:val="00816443"/>
    <w:rsid w:val="008201A0"/>
    <w:rsid w:val="008821AB"/>
    <w:rsid w:val="008865B4"/>
    <w:rsid w:val="008900C7"/>
    <w:rsid w:val="008E0401"/>
    <w:rsid w:val="00925813"/>
    <w:rsid w:val="009333B0"/>
    <w:rsid w:val="009A09A0"/>
    <w:rsid w:val="009B6676"/>
    <w:rsid w:val="009D0EB3"/>
    <w:rsid w:val="009D46A1"/>
    <w:rsid w:val="00A43EBC"/>
    <w:rsid w:val="00A560CB"/>
    <w:rsid w:val="00A56584"/>
    <w:rsid w:val="00A87C8E"/>
    <w:rsid w:val="00AB0651"/>
    <w:rsid w:val="00AB0FFE"/>
    <w:rsid w:val="00AD22DB"/>
    <w:rsid w:val="00AD3B5D"/>
    <w:rsid w:val="00AE6228"/>
    <w:rsid w:val="00B157C3"/>
    <w:rsid w:val="00B31D81"/>
    <w:rsid w:val="00B5462C"/>
    <w:rsid w:val="00B80671"/>
    <w:rsid w:val="00B972AE"/>
    <w:rsid w:val="00BD539F"/>
    <w:rsid w:val="00BF678F"/>
    <w:rsid w:val="00C563B9"/>
    <w:rsid w:val="00C615F4"/>
    <w:rsid w:val="00C633F1"/>
    <w:rsid w:val="00C879E1"/>
    <w:rsid w:val="00CB24B7"/>
    <w:rsid w:val="00D23C28"/>
    <w:rsid w:val="00D24AEA"/>
    <w:rsid w:val="00D34541"/>
    <w:rsid w:val="00D44F27"/>
    <w:rsid w:val="00D470B8"/>
    <w:rsid w:val="00D50864"/>
    <w:rsid w:val="00D53CBE"/>
    <w:rsid w:val="00D56F46"/>
    <w:rsid w:val="00D76924"/>
    <w:rsid w:val="00D8541A"/>
    <w:rsid w:val="00DB2AED"/>
    <w:rsid w:val="00DB3A7D"/>
    <w:rsid w:val="00DF0601"/>
    <w:rsid w:val="00E153E7"/>
    <w:rsid w:val="00E34A2F"/>
    <w:rsid w:val="00E47D1B"/>
    <w:rsid w:val="00E55B9D"/>
    <w:rsid w:val="00E825EC"/>
    <w:rsid w:val="00EA1177"/>
    <w:rsid w:val="00EB6235"/>
    <w:rsid w:val="00EC63FF"/>
    <w:rsid w:val="00EF41BE"/>
    <w:rsid w:val="00F36C51"/>
    <w:rsid w:val="00F50AA7"/>
    <w:rsid w:val="00F67987"/>
    <w:rsid w:val="00F71724"/>
    <w:rsid w:val="00F775BE"/>
    <w:rsid w:val="00FF1D6D"/>
    <w:rsid w:val="0489B033"/>
    <w:rsid w:val="054B87ED"/>
    <w:rsid w:val="05F4B5A0"/>
    <w:rsid w:val="068A2C9F"/>
    <w:rsid w:val="0901D5A0"/>
    <w:rsid w:val="0B2CDF73"/>
    <w:rsid w:val="0B410B1A"/>
    <w:rsid w:val="0B45CEDB"/>
    <w:rsid w:val="0BB3B300"/>
    <w:rsid w:val="0BCABCE4"/>
    <w:rsid w:val="0C044C49"/>
    <w:rsid w:val="0C3380B9"/>
    <w:rsid w:val="0D642387"/>
    <w:rsid w:val="0E9FB13C"/>
    <w:rsid w:val="0ED1CB8F"/>
    <w:rsid w:val="10E1EC25"/>
    <w:rsid w:val="10FE74F3"/>
    <w:rsid w:val="112A3FF8"/>
    <w:rsid w:val="114EC88C"/>
    <w:rsid w:val="11E429AD"/>
    <w:rsid w:val="123D3894"/>
    <w:rsid w:val="137D807E"/>
    <w:rsid w:val="145BEE1C"/>
    <w:rsid w:val="14BAF352"/>
    <w:rsid w:val="15AC16BC"/>
    <w:rsid w:val="162BCCB7"/>
    <w:rsid w:val="168B7D4D"/>
    <w:rsid w:val="182161EA"/>
    <w:rsid w:val="191B8CB0"/>
    <w:rsid w:val="1B182172"/>
    <w:rsid w:val="1D01CDF4"/>
    <w:rsid w:val="1F672615"/>
    <w:rsid w:val="1FA7CCDA"/>
    <w:rsid w:val="2075F592"/>
    <w:rsid w:val="210ABB3E"/>
    <w:rsid w:val="214BFB87"/>
    <w:rsid w:val="228A61D7"/>
    <w:rsid w:val="228FA275"/>
    <w:rsid w:val="22BFC8C7"/>
    <w:rsid w:val="2435AC7C"/>
    <w:rsid w:val="25E73F0D"/>
    <w:rsid w:val="26EAC448"/>
    <w:rsid w:val="27077279"/>
    <w:rsid w:val="277A4322"/>
    <w:rsid w:val="292C744E"/>
    <w:rsid w:val="2936BB81"/>
    <w:rsid w:val="2AF0C1F5"/>
    <w:rsid w:val="2B1447EC"/>
    <w:rsid w:val="2B638076"/>
    <w:rsid w:val="2D19733C"/>
    <w:rsid w:val="2D8CE471"/>
    <w:rsid w:val="2FC9A75A"/>
    <w:rsid w:val="313F03DC"/>
    <w:rsid w:val="31C0B38A"/>
    <w:rsid w:val="32C8F1F2"/>
    <w:rsid w:val="333BEF7E"/>
    <w:rsid w:val="33735EFF"/>
    <w:rsid w:val="3460AB84"/>
    <w:rsid w:val="3524B386"/>
    <w:rsid w:val="3581FC57"/>
    <w:rsid w:val="36042BD2"/>
    <w:rsid w:val="363133DA"/>
    <w:rsid w:val="365893E0"/>
    <w:rsid w:val="381EFD18"/>
    <w:rsid w:val="38CC1DCF"/>
    <w:rsid w:val="38E132C0"/>
    <w:rsid w:val="3952F03A"/>
    <w:rsid w:val="39D20BDE"/>
    <w:rsid w:val="3A4C68C2"/>
    <w:rsid w:val="3A74291F"/>
    <w:rsid w:val="3BEDC094"/>
    <w:rsid w:val="3C7C1975"/>
    <w:rsid w:val="3D1F60A6"/>
    <w:rsid w:val="3DB4351A"/>
    <w:rsid w:val="3DFB1587"/>
    <w:rsid w:val="40F17B48"/>
    <w:rsid w:val="42971710"/>
    <w:rsid w:val="43AFBF42"/>
    <w:rsid w:val="43EDF561"/>
    <w:rsid w:val="43F0C531"/>
    <w:rsid w:val="44143257"/>
    <w:rsid w:val="442BEB27"/>
    <w:rsid w:val="47B84353"/>
    <w:rsid w:val="4858AD89"/>
    <w:rsid w:val="4926B986"/>
    <w:rsid w:val="49CCD53C"/>
    <w:rsid w:val="4D05DD92"/>
    <w:rsid w:val="4D7C2BEF"/>
    <w:rsid w:val="527258FA"/>
    <w:rsid w:val="5413B35F"/>
    <w:rsid w:val="5578171A"/>
    <w:rsid w:val="5699D150"/>
    <w:rsid w:val="5765D380"/>
    <w:rsid w:val="57835422"/>
    <w:rsid w:val="58A6F9EE"/>
    <w:rsid w:val="58AF51E0"/>
    <w:rsid w:val="5DA729B9"/>
    <w:rsid w:val="5DF18CB7"/>
    <w:rsid w:val="5E755EC6"/>
    <w:rsid w:val="5EAB264B"/>
    <w:rsid w:val="611B97F9"/>
    <w:rsid w:val="61CC9C43"/>
    <w:rsid w:val="620D2334"/>
    <w:rsid w:val="643C91E5"/>
    <w:rsid w:val="6464234D"/>
    <w:rsid w:val="66476D8D"/>
    <w:rsid w:val="67056894"/>
    <w:rsid w:val="68E8B33D"/>
    <w:rsid w:val="6B143F04"/>
    <w:rsid w:val="6B776E0C"/>
    <w:rsid w:val="6D570072"/>
    <w:rsid w:val="6E6EEBF8"/>
    <w:rsid w:val="6E8AE730"/>
    <w:rsid w:val="70AB513F"/>
    <w:rsid w:val="71603BCC"/>
    <w:rsid w:val="764E10FE"/>
    <w:rsid w:val="77B7BDF1"/>
    <w:rsid w:val="77E307E4"/>
    <w:rsid w:val="77E447F3"/>
    <w:rsid w:val="7A054C5B"/>
    <w:rsid w:val="7A2F082B"/>
    <w:rsid w:val="7A5F923B"/>
    <w:rsid w:val="7AFBA383"/>
    <w:rsid w:val="7BF63AFD"/>
    <w:rsid w:val="7C09EF65"/>
    <w:rsid w:val="7C3D5134"/>
    <w:rsid w:val="7CE130CA"/>
    <w:rsid w:val="7DD7CF12"/>
    <w:rsid w:val="7FA4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3FF8"/>
  <w15:chartTrackingRefBased/>
  <w15:docId w15:val="{8A4872F5-75B9-4792-B135-4A5DF0CA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Numeropagina">
    <w:name w:val="page number"/>
    <w:basedOn w:val="Carpredefinitoparagrafo"/>
    <w:uiPriority w:val="99"/>
    <w:semiHidden/>
    <w:unhideWhenUsed/>
    <w:rsid w:val="00B972AE"/>
  </w:style>
  <w:style w:type="paragraph" w:customStyle="1" w:styleId="paragraph">
    <w:name w:val="paragraph"/>
    <w:basedOn w:val="Normale"/>
    <w:rsid w:val="004C0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wacimagecontainer">
    <w:name w:val="wacimagecontainer"/>
    <w:basedOn w:val="Carpredefinitoparagrafo"/>
    <w:rsid w:val="004C09E6"/>
  </w:style>
  <w:style w:type="character" w:customStyle="1" w:styleId="normaltextrun">
    <w:name w:val="normaltextrun"/>
    <w:basedOn w:val="Carpredefinitoparagrafo"/>
    <w:rsid w:val="004C09E6"/>
  </w:style>
  <w:style w:type="character" w:customStyle="1" w:styleId="eop">
    <w:name w:val="eop"/>
    <w:basedOn w:val="Carpredefinitoparagrafo"/>
    <w:rsid w:val="004C09E6"/>
  </w:style>
  <w:style w:type="character" w:customStyle="1" w:styleId="spellingerror">
    <w:name w:val="spellingerror"/>
    <w:basedOn w:val="Carpredefinitoparagrafo"/>
    <w:rsid w:val="004C09E6"/>
  </w:style>
  <w:style w:type="character" w:customStyle="1" w:styleId="tabchar">
    <w:name w:val="tabchar"/>
    <w:basedOn w:val="Carpredefinitoparagrafo"/>
    <w:rsid w:val="004C09E6"/>
  </w:style>
  <w:style w:type="character" w:customStyle="1" w:styleId="contextualspellingandgrammarerror">
    <w:name w:val="contextualspellingandgrammarerror"/>
    <w:basedOn w:val="Carpredefinitoparagrafo"/>
    <w:rsid w:val="004C09E6"/>
  </w:style>
  <w:style w:type="character" w:customStyle="1" w:styleId="scxw228268133">
    <w:name w:val="scxw228268133"/>
    <w:basedOn w:val="Carpredefinitoparagrafo"/>
    <w:rsid w:val="004C09E6"/>
  </w:style>
  <w:style w:type="character" w:customStyle="1" w:styleId="scxw167805820">
    <w:name w:val="scxw167805820"/>
    <w:basedOn w:val="Carpredefinitoparagrafo"/>
    <w:rsid w:val="00D56F46"/>
  </w:style>
  <w:style w:type="character" w:styleId="Collegamentoipertestuale">
    <w:name w:val="Hyperlink"/>
    <w:basedOn w:val="Carpredefinitoparagrafo"/>
    <w:uiPriority w:val="99"/>
    <w:unhideWhenUsed/>
    <w:rsid w:val="00792E3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2E3E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F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40F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40F0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F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F05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DB3A7D"/>
    <w:pPr>
      <w:spacing w:after="0" w:line="240" w:lineRule="auto"/>
    </w:pPr>
  </w:style>
  <w:style w:type="character" w:styleId="Menzione">
    <w:name w:val="Mention"/>
    <w:basedOn w:val="Carpredefinitoparagrafo"/>
    <w:uiPriority w:val="99"/>
    <w:unhideWhenUsed/>
    <w:rsid w:val="00EC63F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05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1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5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5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1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2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64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5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5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65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2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6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0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8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45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1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Aon_plc" TargetMode="External"/><Relationship Id="rId18" Type="http://schemas.openxmlformats.org/officeDocument/2006/relationships/hyperlink" Target="mailto:magda.grigorian@tefaf.com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mailto:bfpr@brittafischer-pr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linkedin.com/company/aon" TargetMode="External"/><Relationship Id="rId17" Type="http://schemas.openxmlformats.org/officeDocument/2006/relationships/hyperlink" Target="https://aon.mediaroom.com/get-news-alerts-by-email" TargetMode="External"/><Relationship Id="rId25" Type="http://schemas.openxmlformats.org/officeDocument/2006/relationships/hyperlink" Target="mailto:tefaf@sharpthink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on.mediaroom.com/" TargetMode="External"/><Relationship Id="rId20" Type="http://schemas.openxmlformats.org/officeDocument/2006/relationships/hyperlink" Target="mailto:contact@gbcom.medi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on.com/" TargetMode="External"/><Relationship Id="rId24" Type="http://schemas.openxmlformats.org/officeDocument/2006/relationships/hyperlink" Target="mailto:tefaf@culturalcomms.co.uk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aonplc/" TargetMode="External"/><Relationship Id="rId23" Type="http://schemas.openxmlformats.org/officeDocument/2006/relationships/hyperlink" Target="mailto:hectorsanjose@live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mailto:mirthe.sportel@tefaf.co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Aonplc" TargetMode="External"/><Relationship Id="rId22" Type="http://schemas.openxmlformats.org/officeDocument/2006/relationships/hyperlink" Target="mailto:roberta@studioesseci.net" TargetMode="External"/><Relationship Id="rId27" Type="http://schemas.openxmlformats.org/officeDocument/2006/relationships/image" Target="media/image4.jp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F54231AEB746969EEED15155D849" ma:contentTypeVersion="15" ma:contentTypeDescription="Create a new document." ma:contentTypeScope="" ma:versionID="bc41a989b5af06066cb3f34bf5f61174">
  <xsd:schema xmlns:xsd="http://www.w3.org/2001/XMLSchema" xmlns:xs="http://www.w3.org/2001/XMLSchema" xmlns:p="http://schemas.microsoft.com/office/2006/metadata/properties" xmlns:ns2="013be095-9d89-4608-a652-cbb8bc1df232" xmlns:ns3="5e84e9b8-92f1-47c6-b832-c4cfe362ac10" targetNamespace="http://schemas.microsoft.com/office/2006/metadata/properties" ma:root="true" ma:fieldsID="ef93ec84f8269c62bd28d1842a7e2b0a" ns2:_="" ns3:_="">
    <xsd:import namespace="013be095-9d89-4608-a652-cbb8bc1df232"/>
    <xsd:import namespace="5e84e9b8-92f1-47c6-b832-c4cfe362ac1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Organiz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be095-9d89-4608-a652-cbb8bc1df23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8f7c8b0-76a3-4dd9-8c62-069068cde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Organize" ma:index="20" nillable="true" ma:displayName="Organize" ma:default="Keep as" ma:format="Dropdown" ma:internalName="Organize">
      <xsd:simpleType>
        <xsd:restriction base="dms:Choice">
          <xsd:enumeration value="Archive"/>
          <xsd:enumeration value="Keep as"/>
          <xsd:enumeration value="Dele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4e9b8-92f1-47c6-b832-c4cfe362ac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e70ba1-8a2a-483c-9c58-84f0034900f9}" ma:internalName="TaxCatchAll" ma:showField="CatchAllData" ma:web="5e84e9b8-92f1-47c6-b832-c4cfe362ac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ze xmlns="013be095-9d89-4608-a652-cbb8bc1df232">Keep as</Organize>
    <TaxCatchAll xmlns="5e84e9b8-92f1-47c6-b832-c4cfe362ac10" xsi:nil="true"/>
    <lcf76f155ced4ddcb4097134ff3c332f xmlns="013be095-9d89-4608-a652-cbb8bc1df2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721795-6E61-442C-A62F-9073279C9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be095-9d89-4608-a652-cbb8bc1df232"/>
    <ds:schemaRef ds:uri="5e84e9b8-92f1-47c6-b832-c4cfe362a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0F80D7-1350-4FB5-86B6-F960769D9C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C736F-2783-4EA1-A8E5-319D278D56D2}">
  <ds:schemaRefs>
    <ds:schemaRef ds:uri="http://schemas.microsoft.com/office/2006/metadata/properties"/>
    <ds:schemaRef ds:uri="http://schemas.microsoft.com/office/infopath/2007/PartnerControls"/>
    <ds:schemaRef ds:uri="013be095-9d89-4608-a652-cbb8bc1df232"/>
    <ds:schemaRef ds:uri="5e84e9b8-92f1-47c6-b832-c4cfe362ac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1273</Words>
  <Characters>7258</Characters>
  <Application>Microsoft Office Word</Application>
  <DocSecurity>4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Rosen</dc:creator>
  <cp:keywords>, docId:B5E0E676273F6472E1A05E9DD972D49E</cp:keywords>
  <dc:description/>
  <cp:lastModifiedBy>Roberta Barbaro</cp:lastModifiedBy>
  <cp:revision>2</cp:revision>
  <cp:lastPrinted>2024-01-17T05:59:00Z</cp:lastPrinted>
  <dcterms:created xsi:type="dcterms:W3CDTF">2025-01-22T14:17:00Z</dcterms:created>
  <dcterms:modified xsi:type="dcterms:W3CDTF">2025-01-22T14:17:00Z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0x010100BE78F54231AEB746969EEED15155D849</vt:lpwstr>
  </property>
  <property fmtid="{D5CDD505-2E9C-101B-9397-08002B2CF9AE}" pid="3" name="MediaServiceImageTags">
    <vt:lpwstr/>
  </property>
</Properties>
</file>