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340F" w14:textId="77777777" w:rsidR="004A5D8D" w:rsidRPr="005A76B9" w:rsidRDefault="004A5D8D" w:rsidP="00356FDF">
      <w:pPr>
        <w:spacing w:after="0" w:line="380" w:lineRule="exact"/>
        <w:rPr>
          <w:rFonts w:ascii="Guggenheim Sans" w:hAnsi="Guggenheim Sans"/>
          <w:b/>
          <w:bCs/>
          <w:sz w:val="32"/>
          <w:szCs w:val="32"/>
          <w:lang w:val="en-US"/>
        </w:rPr>
      </w:pPr>
      <w:r w:rsidRPr="005A76B9">
        <w:rPr>
          <w:rFonts w:ascii="Guggenheim Sans" w:hAnsi="Guggenheim Sans"/>
          <w:b/>
          <w:bCs/>
          <w:sz w:val="32"/>
          <w:szCs w:val="32"/>
          <w:lang w:val="en-US"/>
        </w:rPr>
        <w:t xml:space="preserve">The Peggy Guggenheim Collection Presents </w:t>
      </w:r>
    </w:p>
    <w:p w14:paraId="07081014" w14:textId="0934BE67" w:rsidR="00A545EF" w:rsidRPr="005A76B9" w:rsidRDefault="004A5D8D" w:rsidP="00356FDF">
      <w:pPr>
        <w:spacing w:after="0" w:line="380" w:lineRule="exact"/>
        <w:rPr>
          <w:rFonts w:ascii="Guggenheim Sans" w:hAnsi="Guggenheim Sans"/>
          <w:b/>
          <w:bCs/>
          <w:i/>
          <w:iCs/>
          <w:sz w:val="32"/>
          <w:szCs w:val="32"/>
          <w:lang w:val="en-US"/>
        </w:rPr>
      </w:pPr>
      <w:proofErr w:type="gramStart"/>
      <w:r w:rsidRPr="005A76B9">
        <w:rPr>
          <w:rFonts w:ascii="Guggenheim Sans" w:hAnsi="Guggenheim Sans"/>
          <w:b/>
          <w:bCs/>
          <w:i/>
          <w:iCs/>
          <w:sz w:val="32"/>
          <w:szCs w:val="32"/>
          <w:lang w:val="en-US"/>
        </w:rPr>
        <w:t>Manu-Facture</w:t>
      </w:r>
      <w:proofErr w:type="gramEnd"/>
      <w:r w:rsidRPr="005A76B9">
        <w:rPr>
          <w:rFonts w:ascii="Guggenheim Sans" w:hAnsi="Guggenheim Sans"/>
          <w:b/>
          <w:bCs/>
          <w:i/>
          <w:iCs/>
          <w:sz w:val="32"/>
          <w:szCs w:val="32"/>
          <w:lang w:val="en-US"/>
        </w:rPr>
        <w:t>: The Ceramics of Lucio Fontana</w:t>
      </w:r>
    </w:p>
    <w:p w14:paraId="2C5F50DA" w14:textId="77777777" w:rsidR="00A545EF" w:rsidRPr="005A76B9" w:rsidRDefault="00A545EF" w:rsidP="00172A63">
      <w:pPr>
        <w:spacing w:after="0"/>
        <w:rPr>
          <w:rFonts w:ascii="Guggenheim Sans" w:hAnsi="Guggenheim Sans"/>
          <w:sz w:val="18"/>
          <w:szCs w:val="18"/>
          <w:lang w:val="en-US"/>
        </w:rPr>
      </w:pPr>
    </w:p>
    <w:p w14:paraId="6EF76920" w14:textId="77777777" w:rsidR="00A545EF" w:rsidRPr="005A76B9" w:rsidRDefault="00A545EF" w:rsidP="00172A63">
      <w:pPr>
        <w:spacing w:after="0"/>
        <w:rPr>
          <w:rFonts w:ascii="Guggenheim Sans" w:hAnsi="Guggenheim Sans"/>
          <w:sz w:val="18"/>
          <w:szCs w:val="18"/>
          <w:lang w:val="en-US"/>
        </w:rPr>
      </w:pPr>
    </w:p>
    <w:p w14:paraId="2142EA2E" w14:textId="77777777" w:rsidR="004A5D8D" w:rsidRPr="005A76B9" w:rsidRDefault="004A5D8D" w:rsidP="004A5D8D">
      <w:pPr>
        <w:spacing w:after="0"/>
        <w:rPr>
          <w:rFonts w:ascii="Guggenheim Sans" w:hAnsi="Guggenheim Sans"/>
          <w:b/>
          <w:bCs/>
          <w:i/>
          <w:iCs/>
          <w:sz w:val="20"/>
          <w:szCs w:val="20"/>
          <w:lang w:val="en-US"/>
        </w:rPr>
      </w:pPr>
      <w:proofErr w:type="gramStart"/>
      <w:r w:rsidRPr="005A76B9">
        <w:rPr>
          <w:rFonts w:ascii="Guggenheim Sans" w:hAnsi="Guggenheim Sans"/>
          <w:b/>
          <w:bCs/>
          <w:i/>
          <w:iCs/>
          <w:sz w:val="20"/>
          <w:szCs w:val="20"/>
          <w:lang w:val="en-US"/>
        </w:rPr>
        <w:t>Manu-Facture</w:t>
      </w:r>
      <w:proofErr w:type="gramEnd"/>
      <w:r w:rsidRPr="005A76B9">
        <w:rPr>
          <w:rFonts w:ascii="Guggenheim Sans" w:hAnsi="Guggenheim Sans"/>
          <w:b/>
          <w:bCs/>
          <w:i/>
          <w:iCs/>
          <w:sz w:val="20"/>
          <w:szCs w:val="20"/>
          <w:lang w:val="en-US"/>
        </w:rPr>
        <w:t>: The Ceramics of Lucio Fontana</w:t>
      </w:r>
    </w:p>
    <w:p w14:paraId="1F1E97B7" w14:textId="105A51D7" w:rsidR="004A5D8D" w:rsidRPr="005A76B9" w:rsidRDefault="004A5D8D" w:rsidP="004A5D8D">
      <w:pPr>
        <w:spacing w:after="0"/>
        <w:rPr>
          <w:rFonts w:ascii="Guggenheim Sans" w:hAnsi="Guggenheim Sans"/>
          <w:b/>
          <w:bCs/>
          <w:sz w:val="20"/>
          <w:szCs w:val="20"/>
          <w:lang w:val="en-US"/>
        </w:rPr>
      </w:pPr>
      <w:r w:rsidRPr="005A76B9">
        <w:rPr>
          <w:rFonts w:ascii="Guggenheim Sans" w:hAnsi="Guggenheim Sans"/>
          <w:b/>
          <w:bCs/>
          <w:sz w:val="20"/>
          <w:szCs w:val="20"/>
          <w:lang w:val="en-US"/>
        </w:rPr>
        <w:t>Organized by Sharon Hecker</w:t>
      </w:r>
    </w:p>
    <w:p w14:paraId="73AF1960" w14:textId="77777777" w:rsidR="004A5D8D" w:rsidRPr="00A41AD8" w:rsidRDefault="004A5D8D" w:rsidP="004A5D8D">
      <w:pPr>
        <w:spacing w:after="0"/>
        <w:rPr>
          <w:rFonts w:ascii="Guggenheim Sans" w:hAnsi="Guggenheim Sans"/>
          <w:b/>
          <w:bCs/>
          <w:sz w:val="20"/>
          <w:szCs w:val="20"/>
          <w:lang w:val="en-US"/>
        </w:rPr>
      </w:pPr>
      <w:r w:rsidRPr="00A41AD8">
        <w:rPr>
          <w:rFonts w:ascii="Guggenheim Sans" w:hAnsi="Guggenheim Sans"/>
          <w:b/>
          <w:bCs/>
          <w:sz w:val="20"/>
          <w:szCs w:val="20"/>
          <w:lang w:val="en-US"/>
        </w:rPr>
        <w:t>October 11, 2025–March 2, 2026</w:t>
      </w:r>
    </w:p>
    <w:p w14:paraId="45BE6EE3" w14:textId="1F6D662C" w:rsidR="004A5D8D" w:rsidRDefault="004A5D8D" w:rsidP="004A5D8D">
      <w:pPr>
        <w:spacing w:after="0"/>
        <w:rPr>
          <w:rFonts w:ascii="Guggenheim Sans" w:hAnsi="Guggenheim Sans"/>
          <w:b/>
          <w:bCs/>
          <w:sz w:val="20"/>
          <w:szCs w:val="20"/>
          <w:lang w:val="en-US"/>
        </w:rPr>
      </w:pPr>
      <w:r w:rsidRPr="00A41AD8">
        <w:rPr>
          <w:rFonts w:ascii="Guggenheim Sans" w:hAnsi="Guggenheim Sans"/>
          <w:b/>
          <w:bCs/>
          <w:sz w:val="20"/>
          <w:szCs w:val="20"/>
          <w:lang w:val="en-US"/>
        </w:rPr>
        <w:t>Peggy Guggenheim Collection</w:t>
      </w:r>
    </w:p>
    <w:p w14:paraId="0EB63E04" w14:textId="77777777" w:rsidR="00A42870" w:rsidRDefault="00A42870" w:rsidP="004A5D8D">
      <w:pPr>
        <w:spacing w:after="0"/>
        <w:rPr>
          <w:rFonts w:ascii="Guggenheim Sans" w:hAnsi="Guggenheim Sans"/>
          <w:b/>
          <w:bCs/>
          <w:sz w:val="20"/>
          <w:szCs w:val="20"/>
          <w:lang w:val="en-US"/>
        </w:rPr>
      </w:pPr>
    </w:p>
    <w:p w14:paraId="22094CD9" w14:textId="77777777" w:rsidR="00A42870" w:rsidRDefault="00A42870" w:rsidP="004A5D8D">
      <w:pPr>
        <w:spacing w:after="0"/>
        <w:rPr>
          <w:rFonts w:ascii="Guggenheim Sans" w:hAnsi="Guggenheim Sans"/>
          <w:b/>
          <w:bCs/>
          <w:sz w:val="20"/>
          <w:szCs w:val="20"/>
          <w:lang w:val="en-US"/>
        </w:rPr>
      </w:pPr>
    </w:p>
    <w:p w14:paraId="5B9DBCB5" w14:textId="77777777" w:rsidR="004A5D8D" w:rsidRPr="00A41AD8" w:rsidRDefault="004A5D8D" w:rsidP="004A5D8D">
      <w:pPr>
        <w:spacing w:after="0"/>
        <w:rPr>
          <w:rFonts w:ascii="Guggenheim Sans" w:hAnsi="Guggenheim Sans"/>
          <w:sz w:val="18"/>
          <w:szCs w:val="18"/>
          <w:lang w:val="en-US"/>
        </w:rPr>
      </w:pPr>
    </w:p>
    <w:p w14:paraId="3D36AA19" w14:textId="77777777" w:rsidR="00A42870" w:rsidRDefault="00A42870" w:rsidP="00A42870">
      <w:pPr>
        <w:jc w:val="right"/>
        <w:rPr>
          <w:rFonts w:ascii="Guggenheim Sans" w:eastAsia="Times New Roman" w:hAnsi="Guggenheim Sans"/>
          <w:i/>
          <w:iCs/>
          <w:color w:val="000000"/>
          <w:sz w:val="18"/>
          <w:szCs w:val="18"/>
          <w:lang w:val="en-US"/>
        </w:rPr>
      </w:pPr>
      <w:r w:rsidRPr="00A42870">
        <w:rPr>
          <w:rFonts w:ascii="Guggenheim Sans" w:eastAsia="Times New Roman" w:hAnsi="Guggenheim Sans"/>
          <w:i/>
          <w:iCs/>
          <w:color w:val="000000"/>
          <w:sz w:val="18"/>
          <w:szCs w:val="18"/>
          <w:lang w:val="en-US"/>
        </w:rPr>
        <w:t>“Between suicide and travel, I chose the latter because I hope to still make a series of ceramics and sculptures that give me the pleasure or feeling of still being a living man.”</w:t>
      </w:r>
      <w:r w:rsidRPr="00A42870">
        <w:rPr>
          <w:rFonts w:ascii="Guggenheim Sans" w:eastAsia="Times New Roman" w:hAnsi="Guggenheim Sans"/>
          <w:i/>
          <w:iCs/>
          <w:color w:val="000000"/>
          <w:sz w:val="18"/>
          <w:szCs w:val="18"/>
          <w:lang w:val="en-US"/>
        </w:rPr>
        <w:t xml:space="preserve"> – </w:t>
      </w:r>
    </w:p>
    <w:p w14:paraId="7438FF9D" w14:textId="7E0FBF9B" w:rsidR="00A42870" w:rsidRDefault="00A42870" w:rsidP="00A42870">
      <w:pPr>
        <w:jc w:val="right"/>
        <w:rPr>
          <w:rFonts w:ascii="Guggenheim Sans" w:eastAsia="Times New Roman" w:hAnsi="Guggenheim Sans"/>
          <w:color w:val="000000"/>
          <w:sz w:val="18"/>
          <w:szCs w:val="18"/>
          <w:lang w:val="en-US"/>
        </w:rPr>
      </w:pPr>
      <w:r w:rsidRPr="00A42870">
        <w:rPr>
          <w:rFonts w:ascii="Guggenheim Sans" w:eastAsia="Times New Roman" w:hAnsi="Guggenheim Sans"/>
          <w:color w:val="000000"/>
          <w:sz w:val="18"/>
          <w:szCs w:val="18"/>
          <w:lang w:val="en-US"/>
        </w:rPr>
        <w:t>Lucio Fontana</w:t>
      </w:r>
    </w:p>
    <w:p w14:paraId="6A781F20" w14:textId="77777777" w:rsidR="00F837E7" w:rsidRPr="00A42870" w:rsidRDefault="00F837E7" w:rsidP="00A42870">
      <w:pPr>
        <w:jc w:val="right"/>
        <w:rPr>
          <w:rFonts w:ascii="Guggenheim Sans" w:eastAsia="Times New Roman" w:hAnsi="Guggenheim Sans"/>
          <w:color w:val="000000"/>
          <w:sz w:val="18"/>
          <w:szCs w:val="18"/>
          <w:lang w:val="en-US"/>
        </w:rPr>
      </w:pPr>
    </w:p>
    <w:p w14:paraId="5F7F1FEA" w14:textId="77777777" w:rsidR="00EB1D81" w:rsidRPr="00A41AD8" w:rsidRDefault="00EB1D81" w:rsidP="00A42870">
      <w:pPr>
        <w:spacing w:after="0"/>
        <w:jc w:val="right"/>
        <w:rPr>
          <w:rFonts w:ascii="Guggenheim Sans" w:hAnsi="Guggenheim Sans"/>
          <w:sz w:val="18"/>
          <w:szCs w:val="18"/>
          <w:lang w:val="en-US"/>
        </w:rPr>
      </w:pPr>
    </w:p>
    <w:p w14:paraId="7CADF00C" w14:textId="77777777" w:rsidR="00F837E7" w:rsidRDefault="004A5D8D" w:rsidP="004A5D8D">
      <w:pPr>
        <w:spacing w:after="0"/>
        <w:rPr>
          <w:rFonts w:ascii="Guggenheim Sans" w:hAnsi="Guggenheim Sans"/>
          <w:sz w:val="18"/>
          <w:szCs w:val="18"/>
          <w:lang w:val="en-US"/>
        </w:rPr>
      </w:pPr>
      <w:r w:rsidRPr="00B44AB7">
        <w:rPr>
          <w:rFonts w:ascii="Guggenheim Sans" w:hAnsi="Guggenheim Sans"/>
          <w:sz w:val="18"/>
          <w:szCs w:val="18"/>
          <w:lang w:val="en-US"/>
        </w:rPr>
        <w:t xml:space="preserve">From October 11 through March 2, 2026, the Peggy Guggenheim Collection presents </w:t>
      </w:r>
    </w:p>
    <w:p w14:paraId="7E9F7743" w14:textId="1D4F0CE2" w:rsidR="004A5D8D" w:rsidRPr="00B44AB7" w:rsidRDefault="004A5D8D" w:rsidP="004A5D8D">
      <w:pPr>
        <w:spacing w:after="0"/>
        <w:rPr>
          <w:rFonts w:ascii="Guggenheim Sans" w:hAnsi="Guggenheim Sans"/>
          <w:sz w:val="18"/>
          <w:szCs w:val="18"/>
          <w:lang w:val="en-US"/>
        </w:rPr>
      </w:pPr>
      <w:proofErr w:type="gramStart"/>
      <w:r w:rsidRPr="00B44AB7">
        <w:rPr>
          <w:rFonts w:ascii="Guggenheim Sans" w:hAnsi="Guggenheim Sans"/>
          <w:b/>
          <w:bCs/>
          <w:i/>
          <w:iCs/>
          <w:sz w:val="18"/>
          <w:szCs w:val="18"/>
          <w:lang w:val="en-US"/>
        </w:rPr>
        <w:t>Manu-Facture</w:t>
      </w:r>
      <w:proofErr w:type="gramEnd"/>
      <w:r w:rsidRPr="00B44AB7">
        <w:rPr>
          <w:rFonts w:ascii="Guggenheim Sans" w:hAnsi="Guggenheim Sans"/>
          <w:b/>
          <w:bCs/>
          <w:i/>
          <w:iCs/>
          <w:sz w:val="18"/>
          <w:szCs w:val="18"/>
          <w:lang w:val="en-US"/>
        </w:rPr>
        <w:t>: The Ceramics of Lucio of Fontana</w:t>
      </w:r>
      <w:r w:rsidRPr="00B44AB7">
        <w:rPr>
          <w:rFonts w:ascii="Guggenheim Sans" w:hAnsi="Guggenheim Sans"/>
          <w:sz w:val="18"/>
          <w:szCs w:val="18"/>
          <w:lang w:val="en-US"/>
        </w:rPr>
        <w:t xml:space="preserve">, the first museum exhibition dedicated exclusively to the ceramic work of </w:t>
      </w:r>
      <w:r w:rsidRPr="00B44AB7">
        <w:rPr>
          <w:rFonts w:ascii="Guggenheim Sans" w:hAnsi="Guggenheim Sans"/>
          <w:b/>
          <w:bCs/>
          <w:sz w:val="18"/>
          <w:szCs w:val="18"/>
          <w:lang w:val="en-US"/>
        </w:rPr>
        <w:t>Lucio Fontana</w:t>
      </w:r>
      <w:r w:rsidRPr="00B44AB7">
        <w:rPr>
          <w:rFonts w:ascii="Guggenheim Sans" w:hAnsi="Guggenheim Sans"/>
          <w:sz w:val="18"/>
          <w:szCs w:val="18"/>
          <w:lang w:val="en-US"/>
        </w:rPr>
        <w:t xml:space="preserve"> (1899–1968), one of the most innovative, and in his unique way irreverent, artists of the twentieth century. While Fontana is best known for his iconic, slashed and punctured canvases of the 1950s and ‘60s, this exhibition casts a spotlight on a </w:t>
      </w:r>
      <w:proofErr w:type="gramStart"/>
      <w:r w:rsidRPr="00B44AB7">
        <w:rPr>
          <w:rFonts w:ascii="Guggenheim Sans" w:hAnsi="Guggenheim Sans"/>
          <w:sz w:val="18"/>
          <w:szCs w:val="18"/>
          <w:lang w:val="en-US"/>
        </w:rPr>
        <w:t>lesse</w:t>
      </w:r>
      <w:r w:rsidR="00813D16" w:rsidRPr="00B44AB7">
        <w:rPr>
          <w:rFonts w:ascii="Guggenheim Sans" w:hAnsi="Guggenheim Sans"/>
          <w:sz w:val="18"/>
          <w:szCs w:val="18"/>
          <w:lang w:val="en-US"/>
        </w:rPr>
        <w:t>r-</w:t>
      </w:r>
      <w:r w:rsidRPr="00B44AB7">
        <w:rPr>
          <w:rFonts w:ascii="Guggenheim Sans" w:hAnsi="Guggenheim Sans"/>
          <w:sz w:val="18"/>
          <w:szCs w:val="18"/>
          <w:lang w:val="en-US"/>
        </w:rPr>
        <w:t>known</w:t>
      </w:r>
      <w:proofErr w:type="gramEnd"/>
      <w:r w:rsidRPr="00B44AB7">
        <w:rPr>
          <w:rFonts w:ascii="Guggenheim Sans" w:hAnsi="Guggenheim Sans"/>
          <w:sz w:val="18"/>
          <w:szCs w:val="18"/>
          <w:lang w:val="en-US"/>
        </w:rPr>
        <w:t xml:space="preserve"> but essential part of his oeuvre: his work in clay, which he began in Argentina in the 1920s and continued to explore throughout his life. Organized by art historian </w:t>
      </w:r>
      <w:r w:rsidRPr="00B44AB7">
        <w:rPr>
          <w:rFonts w:ascii="Guggenheim Sans" w:hAnsi="Guggenheim Sans"/>
          <w:b/>
          <w:bCs/>
          <w:sz w:val="18"/>
          <w:szCs w:val="18"/>
          <w:lang w:val="en-US"/>
        </w:rPr>
        <w:t>Sharon Hecker</w:t>
      </w:r>
      <w:r w:rsidRPr="00B44AB7">
        <w:rPr>
          <w:rFonts w:ascii="Guggenheim Sans" w:hAnsi="Guggenheim Sans"/>
          <w:sz w:val="18"/>
          <w:szCs w:val="18"/>
          <w:lang w:val="en-US"/>
        </w:rPr>
        <w:t>, this is the first solo show to offer an in-depth examination of Fontana’s ceramic production. As Hecker notes: “Long associated with craft rather than fine art, today Fontana’s ceramics are receiving attention due to the resurgence of interest in the medium within contemporary art.”</w:t>
      </w:r>
    </w:p>
    <w:p w14:paraId="63870B9C" w14:textId="77777777" w:rsidR="004A5D8D" w:rsidRPr="00B44AB7" w:rsidRDefault="004A5D8D" w:rsidP="004A5D8D">
      <w:pPr>
        <w:spacing w:after="0"/>
        <w:rPr>
          <w:rFonts w:ascii="Guggenheim Sans" w:hAnsi="Guggenheim Sans"/>
          <w:sz w:val="18"/>
          <w:szCs w:val="18"/>
          <w:lang w:val="en-US"/>
        </w:rPr>
      </w:pPr>
    </w:p>
    <w:p w14:paraId="75B0DC29" w14:textId="62D9CF16" w:rsidR="004A5D8D" w:rsidRPr="00B44AB7" w:rsidRDefault="004A5D8D" w:rsidP="1F0EFFFC">
      <w:pPr>
        <w:spacing w:after="0"/>
        <w:rPr>
          <w:rFonts w:ascii="Guggenheim Sans" w:hAnsi="Guggenheim Sans"/>
          <w:sz w:val="18"/>
          <w:szCs w:val="18"/>
          <w:lang w:val="en-US"/>
        </w:rPr>
      </w:pPr>
      <w:r w:rsidRPr="00B44AB7">
        <w:rPr>
          <w:rFonts w:ascii="Guggenheim Sans" w:hAnsi="Guggenheim Sans"/>
          <w:sz w:val="18"/>
          <w:szCs w:val="18"/>
          <w:lang w:val="en-US"/>
        </w:rPr>
        <w:t xml:space="preserve">Through over seventy works, including several never previously exhibited, on loan from renowned public and private collections, the show seeks to illuminate the full scope of Fontana’s sculptural vision in clay, revealing how over the years he regarded it as a rich, generative site of experimentation. Fontana’s ceramic output is notable for its diversity of forms, techniques, and subject matter: from figurative </w:t>
      </w:r>
      <w:r w:rsidR="00B047D5" w:rsidRPr="00B44AB7">
        <w:rPr>
          <w:rFonts w:ascii="Guggenheim Sans" w:hAnsi="Guggenheim Sans"/>
          <w:sz w:val="18"/>
          <w:szCs w:val="18"/>
          <w:lang w:val="en-US"/>
        </w:rPr>
        <w:t xml:space="preserve">sculptures of </w:t>
      </w:r>
      <w:r w:rsidRPr="00B44AB7">
        <w:rPr>
          <w:rFonts w:ascii="Guggenheim Sans" w:hAnsi="Guggenheim Sans"/>
          <w:sz w:val="18"/>
          <w:szCs w:val="18"/>
          <w:lang w:val="en-US"/>
        </w:rPr>
        <w:t xml:space="preserve">women, </w:t>
      </w:r>
      <w:r w:rsidR="00B047D5" w:rsidRPr="00B44AB7">
        <w:rPr>
          <w:rFonts w:ascii="Guggenheim Sans" w:hAnsi="Guggenheim Sans"/>
          <w:sz w:val="18"/>
          <w:szCs w:val="18"/>
          <w:lang w:val="en-US"/>
        </w:rPr>
        <w:t>sea creatures</w:t>
      </w:r>
      <w:r w:rsidRPr="00B44AB7">
        <w:rPr>
          <w:rFonts w:ascii="Guggenheim Sans" w:hAnsi="Guggenheim Sans"/>
          <w:sz w:val="18"/>
          <w:szCs w:val="18"/>
          <w:lang w:val="en-US"/>
        </w:rPr>
        <w:t xml:space="preserve">, harlequins, and warriors to abstract </w:t>
      </w:r>
      <w:r w:rsidR="00B047D5" w:rsidRPr="00B44AB7">
        <w:rPr>
          <w:rFonts w:ascii="Guggenheim Sans" w:hAnsi="Guggenheim Sans"/>
          <w:sz w:val="18"/>
          <w:szCs w:val="18"/>
          <w:lang w:val="en-US"/>
        </w:rPr>
        <w:t>forms</w:t>
      </w:r>
      <w:r w:rsidRPr="00B44AB7">
        <w:rPr>
          <w:rFonts w:ascii="Guggenheim Sans" w:hAnsi="Guggenheim Sans"/>
          <w:sz w:val="18"/>
          <w:szCs w:val="18"/>
          <w:lang w:val="en-US"/>
        </w:rPr>
        <w:t xml:space="preserve">, his approach to clay recaptured the age-old ritual </w:t>
      </w:r>
      <w:r w:rsidR="00B047D5" w:rsidRPr="00B44AB7">
        <w:rPr>
          <w:rFonts w:ascii="Guggenheim Sans" w:hAnsi="Guggenheim Sans"/>
          <w:sz w:val="18"/>
          <w:szCs w:val="18"/>
          <w:lang w:val="en-US"/>
        </w:rPr>
        <w:t>of ceramic-making combined with experimentation</w:t>
      </w:r>
      <w:r w:rsidRPr="00B44AB7">
        <w:rPr>
          <w:rFonts w:ascii="Guggenheim Sans" w:hAnsi="Guggenheim Sans"/>
          <w:sz w:val="18"/>
          <w:szCs w:val="18"/>
          <w:lang w:val="en-US"/>
        </w:rPr>
        <w:t xml:space="preserve">. His ceramic practice unfolded across several decades and different contexts: from his early work in Argentina to his return to Fascist Italy, to another long stay in Argentina, and again in Italy after World War II during reconstruction and the later economic boom. Fontana also made objects for private interiors, from plates to crucifixes, fireplaces, and doorhandles, often in collaboration with leading designers. Working with prominent Milanese architects, he created ceramic friezes for building facades and sculptures for churches, schools, cinemas, hotels, sports clubs, and tombs that still adorn the city today. The selection of works on view features both unique handmade works and serially produced objects, some of which blur the boundaries between the two categories. </w:t>
      </w:r>
    </w:p>
    <w:p w14:paraId="48DB4DC7" w14:textId="52B11AD6" w:rsidR="1F0EFFFC" w:rsidRPr="00B44AB7" w:rsidRDefault="1F0EFFFC" w:rsidP="1F0EFFFC">
      <w:pPr>
        <w:spacing w:after="0"/>
        <w:rPr>
          <w:rFonts w:ascii="Guggenheim Sans" w:hAnsi="Guggenheim Sans"/>
          <w:sz w:val="18"/>
          <w:szCs w:val="18"/>
          <w:lang w:val="en-US"/>
        </w:rPr>
      </w:pPr>
    </w:p>
    <w:p w14:paraId="141D7153" w14:textId="77A469E9" w:rsidR="51EF6D35" w:rsidRPr="00B44AB7" w:rsidRDefault="51EF6D35" w:rsidP="1F0EFFFC">
      <w:pPr>
        <w:spacing w:after="0"/>
        <w:rPr>
          <w:rFonts w:ascii="Guggenheim Sans" w:eastAsia="Calibri" w:hAnsi="Guggenheim Sans" w:cs="Calibri"/>
          <w:sz w:val="18"/>
          <w:szCs w:val="18"/>
          <w:lang w:val="en-US"/>
        </w:rPr>
      </w:pPr>
      <w:r w:rsidRPr="00B44AB7">
        <w:rPr>
          <w:rFonts w:ascii="Guggenheim Sans" w:eastAsia="Calibri" w:hAnsi="Guggenheim Sans" w:cs="Calibri"/>
          <w:sz w:val="18"/>
          <w:szCs w:val="18"/>
          <w:lang w:val="en-US"/>
        </w:rPr>
        <w:t xml:space="preserve">The exhibition traces Lucio Fontana’s ceramic practice across two continents and four transformative decades, unfolding through a dynamic interplay of chronology and sculptural themes. His protean production ranges from expressive figurative sculptures—women, harlequins, sea creatures—to radically abstract forms, reflecting the diverse historical, social, political, and geographic contexts in which he lived and worked. Beginning with a first work made during his return to Argentina in 1926, following the trauma of fighting in World War I as a </w:t>
      </w:r>
      <w:r w:rsidR="00F11806" w:rsidRPr="00B44AB7">
        <w:rPr>
          <w:rFonts w:ascii="Guggenheim Sans" w:eastAsia="Calibri" w:hAnsi="Guggenheim Sans" w:cs="Calibri"/>
          <w:sz w:val="18"/>
          <w:szCs w:val="18"/>
          <w:lang w:val="en-US"/>
        </w:rPr>
        <w:lastRenderedPageBreak/>
        <w:t xml:space="preserve">young man </w:t>
      </w:r>
      <w:r w:rsidRPr="00B44AB7">
        <w:rPr>
          <w:rFonts w:ascii="Guggenheim Sans" w:eastAsia="Calibri" w:hAnsi="Guggenheim Sans" w:cs="Calibri"/>
          <w:sz w:val="18"/>
          <w:szCs w:val="18"/>
          <w:lang w:val="en-US"/>
        </w:rPr>
        <w:t xml:space="preserve">among the </w:t>
      </w:r>
      <w:proofErr w:type="spellStart"/>
      <w:r w:rsidRPr="00B44AB7">
        <w:rPr>
          <w:rFonts w:ascii="Guggenheim Sans" w:eastAsia="Calibri" w:hAnsi="Guggenheim Sans" w:cs="Calibri"/>
          <w:i/>
          <w:iCs/>
          <w:sz w:val="18"/>
          <w:szCs w:val="18"/>
          <w:lang w:val="en-US"/>
        </w:rPr>
        <w:t>ragazzi</w:t>
      </w:r>
      <w:proofErr w:type="spellEnd"/>
      <w:r w:rsidRPr="00B44AB7">
        <w:rPr>
          <w:rFonts w:ascii="Guggenheim Sans" w:eastAsia="Calibri" w:hAnsi="Guggenheim Sans" w:cs="Calibri"/>
          <w:i/>
          <w:iCs/>
          <w:sz w:val="18"/>
          <w:szCs w:val="18"/>
          <w:lang w:val="en-US"/>
        </w:rPr>
        <w:t xml:space="preserve"> del ‘99</w:t>
      </w:r>
      <w:r w:rsidRPr="00B44AB7">
        <w:rPr>
          <w:rFonts w:ascii="Guggenheim Sans" w:eastAsia="Calibri" w:hAnsi="Guggenheim Sans" w:cs="Calibri"/>
          <w:sz w:val="18"/>
          <w:szCs w:val="18"/>
          <w:lang w:val="en-US"/>
        </w:rPr>
        <w:t xml:space="preserve">, the exhibition follows Fontana back to Fascist Italy where, in the early 1930s, he produced small, intimate </w:t>
      </w:r>
      <w:proofErr w:type="spellStart"/>
      <w:r w:rsidRPr="00B44AB7">
        <w:rPr>
          <w:rFonts w:ascii="Guggenheim Sans" w:eastAsia="Calibri" w:hAnsi="Guggenheim Sans" w:cs="Calibri"/>
          <w:sz w:val="18"/>
          <w:szCs w:val="18"/>
          <w:lang w:val="en-US"/>
        </w:rPr>
        <w:t>terracottas</w:t>
      </w:r>
      <w:proofErr w:type="spellEnd"/>
      <w:r w:rsidRPr="00B44AB7">
        <w:rPr>
          <w:rFonts w:ascii="Guggenheim Sans" w:eastAsia="Calibri" w:hAnsi="Guggenheim Sans" w:cs="Calibri"/>
          <w:sz w:val="18"/>
          <w:szCs w:val="18"/>
          <w:lang w:val="en-US"/>
        </w:rPr>
        <w:t>—unglazed and dabbed with paint</w:t>
      </w:r>
      <w:r w:rsidR="00A46ACC" w:rsidRPr="00B44AB7">
        <w:rPr>
          <w:rFonts w:ascii="Guggenheim Sans" w:eastAsia="Calibri" w:hAnsi="Guggenheim Sans" w:cs="Calibri"/>
          <w:sz w:val="18"/>
          <w:szCs w:val="18"/>
          <w:lang w:val="en-US"/>
        </w:rPr>
        <w:t xml:space="preserve">—like </w:t>
      </w:r>
      <w:proofErr w:type="spellStart"/>
      <w:r w:rsidR="002F642B" w:rsidRPr="00B44AB7">
        <w:rPr>
          <w:rFonts w:ascii="Guggenheim Sans" w:eastAsia="Calibri" w:hAnsi="Guggenheim Sans" w:cs="Calibri"/>
          <w:i/>
          <w:iCs/>
          <w:sz w:val="18"/>
          <w:szCs w:val="18"/>
          <w:lang w:val="en-US"/>
        </w:rPr>
        <w:t>Ritratto</w:t>
      </w:r>
      <w:proofErr w:type="spellEnd"/>
      <w:r w:rsidR="002F642B" w:rsidRPr="00B44AB7">
        <w:rPr>
          <w:rFonts w:ascii="Guggenheim Sans" w:eastAsia="Calibri" w:hAnsi="Guggenheim Sans" w:cs="Calibri"/>
          <w:i/>
          <w:iCs/>
          <w:sz w:val="18"/>
          <w:szCs w:val="18"/>
          <w:lang w:val="en-US"/>
        </w:rPr>
        <w:t xml:space="preserve"> di bambina </w:t>
      </w:r>
      <w:r w:rsidR="002F642B" w:rsidRPr="00B44AB7">
        <w:rPr>
          <w:rFonts w:ascii="Guggenheim Sans" w:eastAsia="Calibri" w:hAnsi="Guggenheim Sans" w:cs="Calibri"/>
          <w:sz w:val="18"/>
          <w:szCs w:val="18"/>
          <w:lang w:val="en-US"/>
        </w:rPr>
        <w:t>(</w:t>
      </w:r>
      <w:r w:rsidR="002F642B" w:rsidRPr="00B44AB7">
        <w:rPr>
          <w:rFonts w:ascii="Guggenheim Sans" w:eastAsia="Calibri" w:hAnsi="Guggenheim Sans" w:cs="Calibri"/>
          <w:i/>
          <w:iCs/>
          <w:sz w:val="18"/>
          <w:szCs w:val="18"/>
          <w:lang w:val="en-US"/>
        </w:rPr>
        <w:t>Portrait of a Girl</w:t>
      </w:r>
      <w:r w:rsidR="002F4D6D" w:rsidRPr="00B44AB7">
        <w:rPr>
          <w:rFonts w:ascii="Guggenheim Sans" w:eastAsia="Calibri" w:hAnsi="Guggenheim Sans" w:cs="Calibri"/>
          <w:i/>
          <w:iCs/>
          <w:sz w:val="18"/>
          <w:szCs w:val="18"/>
          <w:lang w:val="en-US"/>
        </w:rPr>
        <w:t xml:space="preserve">, </w:t>
      </w:r>
      <w:r w:rsidR="002F4D6D" w:rsidRPr="00B44AB7">
        <w:rPr>
          <w:rFonts w:ascii="Guggenheim Sans" w:eastAsia="Calibri" w:hAnsi="Guggenheim Sans" w:cs="Calibri"/>
          <w:sz w:val="18"/>
          <w:szCs w:val="18"/>
          <w:lang w:val="en-US"/>
        </w:rPr>
        <w:t>1931)</w:t>
      </w:r>
      <w:r w:rsidR="00A46ACC" w:rsidRPr="00B44AB7">
        <w:rPr>
          <w:rFonts w:ascii="Guggenheim Sans" w:eastAsia="Calibri" w:hAnsi="Guggenheim Sans" w:cs="Calibri"/>
          <w:sz w:val="18"/>
          <w:szCs w:val="18"/>
          <w:lang w:val="en-US"/>
        </w:rPr>
        <w:t xml:space="preserve"> or </w:t>
      </w:r>
      <w:r w:rsidR="003C79DC" w:rsidRPr="00B44AB7">
        <w:rPr>
          <w:rFonts w:ascii="Guggenheim Sans" w:eastAsia="Calibri" w:hAnsi="Guggenheim Sans" w:cs="Calibri"/>
          <w:i/>
          <w:iCs/>
          <w:sz w:val="18"/>
          <w:szCs w:val="18"/>
          <w:lang w:val="en-US"/>
        </w:rPr>
        <w:t xml:space="preserve">Busto </w:t>
      </w:r>
      <w:proofErr w:type="spellStart"/>
      <w:r w:rsidR="0031180F" w:rsidRPr="00B44AB7">
        <w:rPr>
          <w:rFonts w:ascii="Guggenheim Sans" w:eastAsia="Calibri" w:hAnsi="Guggenheim Sans" w:cs="Calibri"/>
          <w:i/>
          <w:iCs/>
          <w:sz w:val="18"/>
          <w:szCs w:val="18"/>
          <w:lang w:val="en-US"/>
        </w:rPr>
        <w:t>f</w:t>
      </w:r>
      <w:r w:rsidR="003C79DC" w:rsidRPr="00B44AB7">
        <w:rPr>
          <w:rFonts w:ascii="Guggenheim Sans" w:eastAsia="Calibri" w:hAnsi="Guggenheim Sans" w:cs="Calibri"/>
          <w:i/>
          <w:iCs/>
          <w:sz w:val="18"/>
          <w:szCs w:val="18"/>
          <w:lang w:val="en-US"/>
        </w:rPr>
        <w:t>emminile</w:t>
      </w:r>
      <w:proofErr w:type="spellEnd"/>
      <w:r w:rsidR="003C79DC" w:rsidRPr="00B44AB7">
        <w:rPr>
          <w:rFonts w:ascii="Guggenheim Sans" w:eastAsia="Calibri" w:hAnsi="Guggenheim Sans" w:cs="Calibri"/>
          <w:sz w:val="18"/>
          <w:szCs w:val="18"/>
          <w:lang w:val="en-US"/>
        </w:rPr>
        <w:t xml:space="preserve"> (</w:t>
      </w:r>
      <w:r w:rsidR="003C79DC" w:rsidRPr="00B44AB7">
        <w:rPr>
          <w:rFonts w:ascii="Guggenheim Sans" w:eastAsia="Calibri" w:hAnsi="Guggenheim Sans" w:cs="Calibri"/>
          <w:i/>
          <w:iCs/>
          <w:sz w:val="18"/>
          <w:szCs w:val="18"/>
          <w:lang w:val="en-US"/>
        </w:rPr>
        <w:t>Female Bust</w:t>
      </w:r>
      <w:r w:rsidR="003C79DC" w:rsidRPr="00B44AB7">
        <w:rPr>
          <w:rFonts w:ascii="Guggenheim Sans" w:eastAsia="Calibri" w:hAnsi="Guggenheim Sans" w:cs="Calibri"/>
          <w:sz w:val="18"/>
          <w:szCs w:val="18"/>
          <w:lang w:val="en-US"/>
        </w:rPr>
        <w:t>,</w:t>
      </w:r>
      <w:r w:rsidR="0096368F" w:rsidRPr="00B44AB7">
        <w:rPr>
          <w:rFonts w:ascii="Guggenheim Sans" w:eastAsia="Calibri" w:hAnsi="Guggenheim Sans" w:cs="Calibri"/>
          <w:sz w:val="18"/>
          <w:szCs w:val="18"/>
          <w:lang w:val="en-US"/>
        </w:rPr>
        <w:t xml:space="preserve"> </w:t>
      </w:r>
      <w:r w:rsidR="003C79DC" w:rsidRPr="00B44AB7">
        <w:rPr>
          <w:rFonts w:ascii="Guggenheim Sans" w:eastAsia="Calibri" w:hAnsi="Guggenheim Sans" w:cs="Calibri"/>
          <w:sz w:val="18"/>
          <w:szCs w:val="18"/>
          <w:lang w:val="en-US"/>
        </w:rPr>
        <w:t>1931)</w:t>
      </w:r>
      <w:r w:rsidR="00991558" w:rsidRPr="00B44AB7">
        <w:rPr>
          <w:rFonts w:ascii="Guggenheim Sans" w:eastAsia="Calibri" w:hAnsi="Guggenheim Sans" w:cs="Calibri"/>
          <w:sz w:val="18"/>
          <w:szCs w:val="18"/>
          <w:lang w:val="en-US"/>
        </w:rPr>
        <w:t xml:space="preserve">, </w:t>
      </w:r>
      <w:r w:rsidRPr="00B44AB7">
        <w:rPr>
          <w:rFonts w:ascii="Guggenheim Sans" w:eastAsia="Calibri" w:hAnsi="Guggenheim Sans" w:cs="Calibri"/>
          <w:sz w:val="18"/>
          <w:szCs w:val="18"/>
          <w:lang w:val="en-US"/>
        </w:rPr>
        <w:t xml:space="preserve">and then to his explosion of experiments with glazes thanks to his collaboration with local artisans in Albisola. </w:t>
      </w:r>
      <w:r w:rsidR="00CF45E9" w:rsidRPr="00B44AB7">
        <w:rPr>
          <w:rFonts w:ascii="Guggenheim Sans" w:eastAsia="Calibri" w:hAnsi="Guggenheim Sans" w:cs="Calibri"/>
          <w:sz w:val="18"/>
          <w:szCs w:val="18"/>
          <w:lang w:val="en-US"/>
        </w:rPr>
        <w:t>Works</w:t>
      </w:r>
      <w:r w:rsidR="00DC2C41" w:rsidRPr="00B44AB7">
        <w:rPr>
          <w:rFonts w:ascii="Guggenheim Sans" w:eastAsia="Calibri" w:hAnsi="Guggenheim Sans" w:cs="Calibri"/>
          <w:sz w:val="18"/>
          <w:szCs w:val="18"/>
          <w:lang w:val="en-US"/>
        </w:rPr>
        <w:t xml:space="preserve"> from this period</w:t>
      </w:r>
      <w:r w:rsidR="00527A18" w:rsidRPr="00B44AB7">
        <w:rPr>
          <w:rFonts w:ascii="Guggenheim Sans" w:eastAsia="Calibri" w:hAnsi="Guggenheim Sans" w:cs="Calibri"/>
          <w:sz w:val="18"/>
          <w:szCs w:val="18"/>
          <w:lang w:val="en-US"/>
        </w:rPr>
        <w:t xml:space="preserve"> include </w:t>
      </w:r>
      <w:r w:rsidR="0057174C" w:rsidRPr="00B44AB7">
        <w:rPr>
          <w:rFonts w:ascii="Guggenheim Sans" w:eastAsia="Calibri" w:hAnsi="Guggenheim Sans" w:cs="Calibri"/>
          <w:sz w:val="18"/>
          <w:szCs w:val="18"/>
          <w:lang w:val="en-US"/>
        </w:rPr>
        <w:t xml:space="preserve">the fascinating </w:t>
      </w:r>
      <w:proofErr w:type="spellStart"/>
      <w:r w:rsidR="004E3757" w:rsidRPr="00B44AB7">
        <w:rPr>
          <w:rFonts w:ascii="Guggenheim Sans" w:eastAsia="Calibri" w:hAnsi="Guggenheim Sans" w:cs="Calibri"/>
          <w:i/>
          <w:iCs/>
          <w:sz w:val="18"/>
          <w:szCs w:val="18"/>
          <w:lang w:val="en-US"/>
        </w:rPr>
        <w:t>Coccodrillo</w:t>
      </w:r>
      <w:proofErr w:type="spellEnd"/>
      <w:r w:rsidR="004E3757" w:rsidRPr="00B44AB7">
        <w:rPr>
          <w:rFonts w:ascii="Guggenheim Sans" w:eastAsia="Calibri" w:hAnsi="Guggenheim Sans" w:cs="Calibri"/>
          <w:sz w:val="18"/>
          <w:szCs w:val="18"/>
          <w:lang w:val="en-US"/>
        </w:rPr>
        <w:t xml:space="preserve"> (</w:t>
      </w:r>
      <w:r w:rsidR="00DA1A36" w:rsidRPr="00B44AB7">
        <w:rPr>
          <w:rFonts w:ascii="Guggenheim Sans" w:eastAsia="Calibri" w:hAnsi="Guggenheim Sans" w:cs="Calibri"/>
          <w:i/>
          <w:iCs/>
          <w:sz w:val="18"/>
          <w:szCs w:val="18"/>
          <w:lang w:val="en-US"/>
        </w:rPr>
        <w:t>Crocodile</w:t>
      </w:r>
      <w:r w:rsidR="00DA1A36" w:rsidRPr="00B44AB7">
        <w:rPr>
          <w:rFonts w:ascii="Guggenheim Sans" w:eastAsia="Calibri" w:hAnsi="Guggenheim Sans" w:cs="Calibri"/>
          <w:sz w:val="18"/>
          <w:szCs w:val="18"/>
          <w:lang w:val="en-US"/>
        </w:rPr>
        <w:t xml:space="preserve">, </w:t>
      </w:r>
      <w:r w:rsidR="004E3757" w:rsidRPr="00B44AB7">
        <w:rPr>
          <w:rFonts w:ascii="Guggenheim Sans" w:eastAsia="Calibri" w:hAnsi="Guggenheim Sans" w:cs="Calibri"/>
          <w:sz w:val="18"/>
          <w:szCs w:val="18"/>
          <w:lang w:val="en-US"/>
        </w:rPr>
        <w:t>193</w:t>
      </w:r>
      <w:r w:rsidR="00F707BE" w:rsidRPr="00B44AB7">
        <w:rPr>
          <w:rFonts w:ascii="Guggenheim Sans" w:eastAsia="Calibri" w:hAnsi="Guggenheim Sans" w:cs="Calibri"/>
          <w:sz w:val="18"/>
          <w:szCs w:val="18"/>
          <w:lang w:val="en-US"/>
        </w:rPr>
        <w:t>6</w:t>
      </w:r>
      <w:r w:rsidR="00D358F6" w:rsidRPr="00B44AB7">
        <w:rPr>
          <w:rFonts w:ascii="Guggenheim Sans" w:eastAsia="Calibri" w:hAnsi="Guggenheim Sans" w:cs="Calibri"/>
          <w:sz w:val="18"/>
          <w:szCs w:val="18"/>
          <w:lang w:val="en-US"/>
        </w:rPr>
        <w:t>–</w:t>
      </w:r>
      <w:r w:rsidR="004E3757" w:rsidRPr="00B44AB7">
        <w:rPr>
          <w:rFonts w:ascii="Guggenheim Sans" w:eastAsia="Calibri" w:hAnsi="Guggenheim Sans" w:cs="Calibri"/>
          <w:sz w:val="18"/>
          <w:szCs w:val="18"/>
          <w:lang w:val="en-US"/>
        </w:rPr>
        <w:t>3</w:t>
      </w:r>
      <w:r w:rsidR="00DA1A36" w:rsidRPr="00B44AB7">
        <w:rPr>
          <w:rFonts w:ascii="Guggenheim Sans" w:eastAsia="Calibri" w:hAnsi="Guggenheim Sans" w:cs="Calibri"/>
          <w:sz w:val="18"/>
          <w:szCs w:val="18"/>
          <w:lang w:val="en-US"/>
        </w:rPr>
        <w:t>7</w:t>
      </w:r>
      <w:r w:rsidR="004E3757" w:rsidRPr="00B44AB7">
        <w:rPr>
          <w:rFonts w:ascii="Guggenheim Sans" w:eastAsia="Calibri" w:hAnsi="Guggenheim Sans" w:cs="Calibri"/>
          <w:sz w:val="18"/>
          <w:szCs w:val="18"/>
          <w:lang w:val="en-US"/>
        </w:rPr>
        <w:t xml:space="preserve">), </w:t>
      </w:r>
      <w:r w:rsidR="004E3757" w:rsidRPr="00B44AB7">
        <w:rPr>
          <w:rFonts w:ascii="Guggenheim Sans" w:eastAsia="Calibri" w:hAnsi="Guggenheim Sans" w:cs="Calibri"/>
          <w:i/>
          <w:iCs/>
          <w:sz w:val="18"/>
          <w:szCs w:val="18"/>
          <w:lang w:val="en-US"/>
        </w:rPr>
        <w:t>Medusa</w:t>
      </w:r>
      <w:r w:rsidR="004E3757" w:rsidRPr="00B44AB7">
        <w:rPr>
          <w:rFonts w:ascii="Guggenheim Sans" w:eastAsia="Calibri" w:hAnsi="Guggenheim Sans" w:cs="Calibri"/>
          <w:sz w:val="18"/>
          <w:szCs w:val="18"/>
          <w:lang w:val="en-US"/>
        </w:rPr>
        <w:t xml:space="preserve"> (1938</w:t>
      </w:r>
      <w:r w:rsidR="00D358F6" w:rsidRPr="00B44AB7">
        <w:rPr>
          <w:rFonts w:ascii="Guggenheim Sans" w:eastAsia="Calibri" w:hAnsi="Guggenheim Sans" w:cs="Calibri"/>
          <w:sz w:val="18"/>
          <w:szCs w:val="18"/>
          <w:lang w:val="en-US"/>
        </w:rPr>
        <w:t>–</w:t>
      </w:r>
      <w:r w:rsidR="004E3757" w:rsidRPr="00B44AB7">
        <w:rPr>
          <w:rFonts w:ascii="Guggenheim Sans" w:eastAsia="Calibri" w:hAnsi="Guggenheim Sans" w:cs="Calibri"/>
          <w:sz w:val="18"/>
          <w:szCs w:val="18"/>
          <w:lang w:val="en-US"/>
        </w:rPr>
        <w:t xml:space="preserve">39), </w:t>
      </w:r>
      <w:r w:rsidR="004E3757" w:rsidRPr="00B44AB7">
        <w:rPr>
          <w:rFonts w:ascii="Guggenheim Sans" w:eastAsia="Calibri" w:hAnsi="Guggenheim Sans" w:cs="Calibri"/>
          <w:i/>
          <w:iCs/>
          <w:sz w:val="18"/>
          <w:szCs w:val="18"/>
          <w:lang w:val="en-US"/>
        </w:rPr>
        <w:t xml:space="preserve">Donna </w:t>
      </w:r>
      <w:proofErr w:type="spellStart"/>
      <w:r w:rsidR="004E3757" w:rsidRPr="00B44AB7">
        <w:rPr>
          <w:rFonts w:ascii="Guggenheim Sans" w:eastAsia="Calibri" w:hAnsi="Guggenheim Sans" w:cs="Calibri"/>
          <w:i/>
          <w:iCs/>
          <w:sz w:val="18"/>
          <w:szCs w:val="18"/>
          <w:lang w:val="en-US"/>
        </w:rPr>
        <w:t>seduta</w:t>
      </w:r>
      <w:proofErr w:type="spellEnd"/>
      <w:r w:rsidR="004E3757" w:rsidRPr="00B44AB7">
        <w:rPr>
          <w:rFonts w:ascii="Guggenheim Sans" w:eastAsia="Calibri" w:hAnsi="Guggenheim Sans" w:cs="Calibri"/>
          <w:sz w:val="18"/>
          <w:szCs w:val="18"/>
          <w:lang w:val="en-US"/>
        </w:rPr>
        <w:t xml:space="preserve"> (</w:t>
      </w:r>
      <w:r w:rsidR="006F768A" w:rsidRPr="00B44AB7">
        <w:rPr>
          <w:rFonts w:ascii="Guggenheim Sans" w:eastAsia="Calibri" w:hAnsi="Guggenheim Sans" w:cs="Calibri"/>
          <w:i/>
          <w:iCs/>
          <w:sz w:val="18"/>
          <w:szCs w:val="18"/>
          <w:lang w:val="en-US"/>
        </w:rPr>
        <w:t>Seated Woman</w:t>
      </w:r>
      <w:r w:rsidR="006F768A" w:rsidRPr="00B44AB7">
        <w:rPr>
          <w:rFonts w:ascii="Guggenheim Sans" w:eastAsia="Calibri" w:hAnsi="Guggenheim Sans" w:cs="Calibri"/>
          <w:sz w:val="18"/>
          <w:szCs w:val="18"/>
          <w:lang w:val="en-US"/>
        </w:rPr>
        <w:t xml:space="preserve">, </w:t>
      </w:r>
      <w:r w:rsidR="004E3757" w:rsidRPr="00B44AB7">
        <w:rPr>
          <w:rFonts w:ascii="Guggenheim Sans" w:eastAsia="Calibri" w:hAnsi="Guggenheim Sans" w:cs="Calibri"/>
          <w:sz w:val="18"/>
          <w:szCs w:val="18"/>
          <w:lang w:val="en-US"/>
        </w:rPr>
        <w:t>1938)</w:t>
      </w:r>
      <w:r w:rsidR="009D1FF0" w:rsidRPr="00B44AB7">
        <w:rPr>
          <w:rFonts w:ascii="Guggenheim Sans" w:eastAsia="Calibri" w:hAnsi="Guggenheim Sans" w:cs="Calibri"/>
          <w:sz w:val="18"/>
          <w:szCs w:val="18"/>
          <w:lang w:val="en-US"/>
        </w:rPr>
        <w:t xml:space="preserve">, and the </w:t>
      </w:r>
      <w:r w:rsidR="008447B8" w:rsidRPr="00B44AB7">
        <w:rPr>
          <w:rFonts w:ascii="Guggenheim Sans" w:eastAsia="Calibri" w:hAnsi="Guggenheim Sans" w:cs="Calibri"/>
          <w:sz w:val="18"/>
          <w:szCs w:val="18"/>
          <w:lang w:val="en-US"/>
        </w:rPr>
        <w:t>monumental</w:t>
      </w:r>
      <w:r w:rsidR="004E3757" w:rsidRPr="00B44AB7">
        <w:rPr>
          <w:rFonts w:ascii="Guggenheim Sans" w:eastAsia="Calibri" w:hAnsi="Guggenheim Sans" w:cs="Calibri"/>
          <w:sz w:val="18"/>
          <w:szCs w:val="18"/>
          <w:lang w:val="en-US"/>
        </w:rPr>
        <w:t xml:space="preserve"> </w:t>
      </w:r>
      <w:r w:rsidR="004E3757" w:rsidRPr="00B44AB7">
        <w:rPr>
          <w:rFonts w:ascii="Guggenheim Sans" w:eastAsia="Calibri" w:hAnsi="Guggenheim Sans" w:cs="Calibri"/>
          <w:i/>
          <w:iCs/>
          <w:sz w:val="18"/>
          <w:szCs w:val="18"/>
          <w:lang w:val="en-US"/>
        </w:rPr>
        <w:t xml:space="preserve">Torso Italico </w:t>
      </w:r>
      <w:r w:rsidR="004E3757" w:rsidRPr="00B44AB7">
        <w:rPr>
          <w:rFonts w:ascii="Guggenheim Sans" w:eastAsia="Calibri" w:hAnsi="Guggenheim Sans" w:cs="Calibri"/>
          <w:sz w:val="18"/>
          <w:szCs w:val="18"/>
          <w:lang w:val="en-US"/>
        </w:rPr>
        <w:t>(</w:t>
      </w:r>
      <w:r w:rsidR="008447B8" w:rsidRPr="00B44AB7">
        <w:rPr>
          <w:rFonts w:ascii="Guggenheim Sans" w:eastAsia="Calibri" w:hAnsi="Guggenheim Sans" w:cs="Calibri"/>
          <w:i/>
          <w:iCs/>
          <w:sz w:val="18"/>
          <w:szCs w:val="18"/>
          <w:lang w:val="en-US"/>
        </w:rPr>
        <w:t>Italic Torso</w:t>
      </w:r>
      <w:r w:rsidR="008447B8" w:rsidRPr="00B44AB7">
        <w:rPr>
          <w:rFonts w:ascii="Guggenheim Sans" w:eastAsia="Calibri" w:hAnsi="Guggenheim Sans" w:cs="Calibri"/>
          <w:sz w:val="18"/>
          <w:szCs w:val="18"/>
          <w:lang w:val="en-US"/>
        </w:rPr>
        <w:t xml:space="preserve">, </w:t>
      </w:r>
      <w:r w:rsidR="004E3757" w:rsidRPr="00B44AB7">
        <w:rPr>
          <w:rFonts w:ascii="Guggenheim Sans" w:eastAsia="Calibri" w:hAnsi="Guggenheim Sans" w:cs="Calibri"/>
          <w:sz w:val="18"/>
          <w:szCs w:val="18"/>
          <w:lang w:val="en-US"/>
        </w:rPr>
        <w:t>1938).</w:t>
      </w:r>
      <w:r w:rsidR="00EC1E33" w:rsidRPr="00B44AB7">
        <w:rPr>
          <w:rFonts w:ascii="Guggenheim Sans" w:eastAsia="Calibri" w:hAnsi="Guggenheim Sans" w:cs="Calibri"/>
          <w:sz w:val="18"/>
          <w:szCs w:val="18"/>
          <w:lang w:val="en-US"/>
        </w:rPr>
        <w:t xml:space="preserve"> </w:t>
      </w:r>
      <w:r w:rsidRPr="00B44AB7">
        <w:rPr>
          <w:rFonts w:ascii="Guggenheim Sans" w:eastAsia="Calibri" w:hAnsi="Guggenheim Sans" w:cs="Calibri"/>
          <w:sz w:val="18"/>
          <w:szCs w:val="18"/>
          <w:lang w:val="en-US"/>
        </w:rPr>
        <w:t>During World War II, he again returned to Argentina and continued to make ceramics, before settling once more in postwar Italy, where the country’s reconstruction and economic boom paralleled his conceptual expansion in ceramics, including plates, crucifixes, and abstract sculptural forms that explored the origins of ceramic-making. A dedicated gallery presents Fontana's deeply personal portraits of women in his life</w:t>
      </w:r>
      <w:r w:rsidR="003E029B" w:rsidRPr="00B44AB7">
        <w:rPr>
          <w:rFonts w:ascii="Guggenheim Sans" w:eastAsia="Calibri" w:hAnsi="Guggenheim Sans" w:cs="Calibri"/>
          <w:sz w:val="18"/>
          <w:szCs w:val="18"/>
          <w:lang w:val="en-US"/>
        </w:rPr>
        <w:t>—from his wife, Teres</w:t>
      </w:r>
      <w:r w:rsidR="0034681C" w:rsidRPr="00B44AB7">
        <w:rPr>
          <w:rFonts w:ascii="Guggenheim Sans" w:eastAsia="Calibri" w:hAnsi="Guggenheim Sans" w:cs="Calibri"/>
          <w:sz w:val="18"/>
          <w:szCs w:val="18"/>
          <w:lang w:val="en-US"/>
        </w:rPr>
        <w:t xml:space="preserve">ita, </w:t>
      </w:r>
      <w:r w:rsidR="005E6946" w:rsidRPr="00B44AB7">
        <w:rPr>
          <w:rFonts w:ascii="Guggenheim Sans" w:eastAsia="Calibri" w:hAnsi="Guggenheim Sans" w:cs="Calibri"/>
          <w:sz w:val="18"/>
          <w:szCs w:val="18"/>
          <w:lang w:val="en-US"/>
        </w:rPr>
        <w:t>and</w:t>
      </w:r>
      <w:r w:rsidR="0034681C" w:rsidRPr="00B44AB7">
        <w:rPr>
          <w:rFonts w:ascii="Guggenheim Sans" w:eastAsia="Calibri" w:hAnsi="Guggenheim Sans" w:cs="Calibri"/>
          <w:sz w:val="18"/>
          <w:szCs w:val="18"/>
          <w:lang w:val="en-US"/>
        </w:rPr>
        <w:t xml:space="preserve"> author and intellectual Milena Milani, the only </w:t>
      </w:r>
      <w:r w:rsidR="005E6946" w:rsidRPr="00B44AB7">
        <w:rPr>
          <w:rFonts w:ascii="Guggenheim Sans" w:eastAsia="Calibri" w:hAnsi="Guggenheim Sans" w:cs="Calibri"/>
          <w:sz w:val="18"/>
          <w:szCs w:val="18"/>
          <w:lang w:val="en-US"/>
        </w:rPr>
        <w:t xml:space="preserve">woman to sign </w:t>
      </w:r>
      <w:r w:rsidR="008260EA" w:rsidRPr="00B44AB7">
        <w:rPr>
          <w:rFonts w:ascii="Guggenheim Sans" w:eastAsia="Calibri" w:hAnsi="Guggenheim Sans" w:cs="Calibri"/>
          <w:sz w:val="18"/>
          <w:szCs w:val="18"/>
          <w:lang w:val="en-US"/>
        </w:rPr>
        <w:t xml:space="preserve">the </w:t>
      </w:r>
      <w:r w:rsidR="005E6946" w:rsidRPr="00B44AB7">
        <w:rPr>
          <w:rFonts w:ascii="Guggenheim Sans" w:eastAsia="Calibri" w:hAnsi="Guggenheim Sans" w:cs="Calibri"/>
          <w:i/>
          <w:iCs/>
          <w:sz w:val="18"/>
          <w:szCs w:val="18"/>
          <w:lang w:val="en-US"/>
        </w:rPr>
        <w:t xml:space="preserve">Manifesto dello </w:t>
      </w:r>
      <w:proofErr w:type="spellStart"/>
      <w:r w:rsidR="005E6946" w:rsidRPr="00B44AB7">
        <w:rPr>
          <w:rFonts w:ascii="Guggenheim Sans" w:eastAsia="Calibri" w:hAnsi="Guggenheim Sans" w:cs="Calibri"/>
          <w:i/>
          <w:iCs/>
          <w:sz w:val="18"/>
          <w:szCs w:val="18"/>
          <w:lang w:val="en-US"/>
        </w:rPr>
        <w:t>Spazialismo</w:t>
      </w:r>
      <w:proofErr w:type="spellEnd"/>
      <w:r w:rsidR="00255CCB" w:rsidRPr="00B44AB7">
        <w:rPr>
          <w:rFonts w:ascii="Guggenheim Sans" w:eastAsia="Calibri" w:hAnsi="Guggenheim Sans" w:cs="Calibri"/>
          <w:sz w:val="18"/>
          <w:szCs w:val="18"/>
          <w:lang w:val="en-US"/>
        </w:rPr>
        <w:t>, to ceramicist Esa Mazzotti—</w:t>
      </w:r>
      <w:r w:rsidRPr="00B44AB7">
        <w:rPr>
          <w:rFonts w:ascii="Guggenheim Sans" w:eastAsia="Calibri" w:hAnsi="Guggenheim Sans" w:cs="Calibri"/>
          <w:sz w:val="18"/>
          <w:szCs w:val="18"/>
          <w:lang w:val="en-US"/>
        </w:rPr>
        <w:t xml:space="preserve">revealing his intimate relationship with both his sitters and the </w:t>
      </w:r>
      <w:r w:rsidR="00E63C3E" w:rsidRPr="00B44AB7">
        <w:rPr>
          <w:rFonts w:ascii="Guggenheim Sans" w:eastAsia="Calibri" w:hAnsi="Guggenheim Sans" w:cs="Calibri"/>
          <w:sz w:val="18"/>
          <w:szCs w:val="18"/>
          <w:lang w:val="en-US"/>
        </w:rPr>
        <w:t xml:space="preserve">medium </w:t>
      </w:r>
      <w:r w:rsidRPr="00B44AB7">
        <w:rPr>
          <w:rFonts w:ascii="Guggenheim Sans" w:eastAsia="Calibri" w:hAnsi="Guggenheim Sans" w:cs="Calibri"/>
          <w:sz w:val="18"/>
          <w:szCs w:val="18"/>
          <w:lang w:val="en-US"/>
        </w:rPr>
        <w:t>itself.</w:t>
      </w:r>
      <w:r w:rsidR="009B71B4" w:rsidRPr="00B44AB7">
        <w:rPr>
          <w:rFonts w:ascii="Guggenheim Sans" w:eastAsia="Calibri" w:hAnsi="Guggenheim Sans" w:cs="Calibri"/>
          <w:sz w:val="18"/>
          <w:szCs w:val="18"/>
          <w:lang w:val="en-US"/>
        </w:rPr>
        <w:t xml:space="preserve"> </w:t>
      </w:r>
      <w:r w:rsidRPr="00B44AB7">
        <w:rPr>
          <w:rFonts w:ascii="Guggenheim Sans" w:eastAsia="Calibri" w:hAnsi="Guggenheim Sans" w:cs="Calibri"/>
          <w:sz w:val="18"/>
          <w:szCs w:val="18"/>
          <w:lang w:val="en-US"/>
        </w:rPr>
        <w:t>The exhibition emphasizes Fontana’s embrace of clay’s physicality—smooth, rough, incised, raw, painted, glazed—highlighting his innovative mixing of the languages of art and craft, design and artisanship. Archival photographs capture the artist at work, offering a portrait of a collaborative maker deeply attuned to material, process, and place.</w:t>
      </w:r>
    </w:p>
    <w:p w14:paraId="766D1C4C" w14:textId="77777777" w:rsidR="00A41AD8" w:rsidRPr="00B44AB7" w:rsidRDefault="00A41AD8" w:rsidP="1F0EFFFC">
      <w:pPr>
        <w:spacing w:after="0"/>
        <w:rPr>
          <w:rFonts w:ascii="Guggenheim Sans" w:eastAsia="Calibri" w:hAnsi="Guggenheim Sans" w:cs="Calibri"/>
          <w:sz w:val="18"/>
          <w:szCs w:val="18"/>
          <w:lang w:val="en-US"/>
        </w:rPr>
      </w:pPr>
    </w:p>
    <w:p w14:paraId="7DAF6023" w14:textId="43CB629D" w:rsidR="00A41AD8" w:rsidRPr="00B44AB7" w:rsidRDefault="00627CB3" w:rsidP="1F0EFFFC">
      <w:pPr>
        <w:spacing w:after="0"/>
        <w:rPr>
          <w:rFonts w:ascii="Guggenheim Sans" w:eastAsia="Guggenheim Sans" w:hAnsi="Guggenheim Sans" w:cs="Guggenheim Sans"/>
          <w:sz w:val="18"/>
          <w:szCs w:val="18"/>
          <w:lang w:val="en-US"/>
        </w:rPr>
      </w:pPr>
      <w:r w:rsidRPr="00B44AB7">
        <w:rPr>
          <w:rFonts w:ascii="Guggenheim Sans" w:eastAsia="Calibri" w:hAnsi="Guggenheim Sans" w:cs="Calibri"/>
          <w:sz w:val="18"/>
          <w:szCs w:val="18"/>
          <w:lang w:val="en-US"/>
        </w:rPr>
        <w:t xml:space="preserve">The </w:t>
      </w:r>
      <w:r w:rsidR="005A48AD" w:rsidRPr="00B44AB7">
        <w:rPr>
          <w:rFonts w:ascii="Guggenheim Sans" w:eastAsia="Calibri" w:hAnsi="Guggenheim Sans" w:cs="Calibri"/>
          <w:sz w:val="18"/>
          <w:szCs w:val="18"/>
          <w:lang w:val="en-US"/>
        </w:rPr>
        <w:t xml:space="preserve">show is accompanied by </w:t>
      </w:r>
      <w:r w:rsidR="00601D9A" w:rsidRPr="00B44AB7">
        <w:rPr>
          <w:rFonts w:ascii="Guggenheim Sans" w:eastAsia="Calibri" w:hAnsi="Guggenheim Sans" w:cs="Calibri"/>
          <w:i/>
          <w:iCs/>
          <w:sz w:val="18"/>
          <w:szCs w:val="18"/>
          <w:lang w:val="en-US"/>
        </w:rPr>
        <w:t>Lucio Fontana Ceramics in Milan</w:t>
      </w:r>
      <w:r w:rsidR="00601D9A" w:rsidRPr="00B44AB7">
        <w:rPr>
          <w:rFonts w:ascii="Guggenheim Sans" w:eastAsia="Calibri" w:hAnsi="Guggenheim Sans" w:cs="Calibri"/>
          <w:sz w:val="18"/>
          <w:szCs w:val="18"/>
          <w:lang w:val="en-US"/>
        </w:rPr>
        <w:t>, an original short film commissioned especially for the exhibition</w:t>
      </w:r>
      <w:r w:rsidRPr="00B44AB7">
        <w:rPr>
          <w:rFonts w:ascii="Guggenheim Sans" w:eastAsia="Calibri" w:hAnsi="Guggenheim Sans" w:cs="Calibri"/>
          <w:sz w:val="18"/>
          <w:szCs w:val="18"/>
          <w:lang w:val="en-US"/>
        </w:rPr>
        <w:t xml:space="preserve"> </w:t>
      </w:r>
      <w:r w:rsidR="001F32B3" w:rsidRPr="00B44AB7">
        <w:rPr>
          <w:rFonts w:ascii="Guggenheim Sans" w:eastAsia="Calibri" w:hAnsi="Guggenheim Sans" w:cs="Calibri"/>
          <w:sz w:val="18"/>
          <w:szCs w:val="18"/>
          <w:lang w:val="en-US"/>
        </w:rPr>
        <w:t xml:space="preserve">and created by </w:t>
      </w:r>
      <w:r w:rsidR="00C16748" w:rsidRPr="00B44AB7">
        <w:rPr>
          <w:rFonts w:ascii="Guggenheim Sans" w:eastAsia="Calibri" w:hAnsi="Guggenheim Sans" w:cs="Calibri"/>
          <w:sz w:val="18"/>
          <w:szCs w:val="18"/>
          <w:lang w:val="en-US"/>
        </w:rPr>
        <w:t>Argentinian director Felipe Sanguinetti.</w:t>
      </w:r>
      <w:r w:rsidR="00B0109B" w:rsidRPr="00B44AB7">
        <w:rPr>
          <w:rFonts w:ascii="Guggenheim Sans" w:eastAsia="Calibri" w:hAnsi="Guggenheim Sans" w:cs="Calibri"/>
          <w:sz w:val="18"/>
          <w:szCs w:val="18"/>
          <w:lang w:val="en-US"/>
        </w:rPr>
        <w:t xml:space="preserve"> </w:t>
      </w:r>
      <w:r w:rsidR="00E75A5B" w:rsidRPr="00B44AB7">
        <w:rPr>
          <w:rFonts w:ascii="Guggenheim Sans" w:eastAsia="Calibri" w:hAnsi="Guggenheim Sans" w:cs="Calibri"/>
          <w:sz w:val="18"/>
          <w:szCs w:val="18"/>
          <w:lang w:val="en-US"/>
        </w:rPr>
        <w:t xml:space="preserve">Conceived as an integral part of the exhibition, the film takes viewers on a cinematic journey through different places in Milan—the Monumental Cemetery, the Church of San Fedele, the Istituto Gonzaga, the Museo </w:t>
      </w:r>
      <w:proofErr w:type="spellStart"/>
      <w:r w:rsidR="00E75A5B" w:rsidRPr="00B44AB7">
        <w:rPr>
          <w:rFonts w:ascii="Guggenheim Sans" w:eastAsia="Calibri" w:hAnsi="Guggenheim Sans" w:cs="Calibri"/>
          <w:sz w:val="18"/>
          <w:szCs w:val="18"/>
          <w:lang w:val="en-US"/>
        </w:rPr>
        <w:t>Diocesano</w:t>
      </w:r>
      <w:proofErr w:type="spellEnd"/>
      <w:r w:rsidR="00E75A5B" w:rsidRPr="00B44AB7">
        <w:rPr>
          <w:rFonts w:ascii="Guggenheim Sans" w:eastAsia="Calibri" w:hAnsi="Guggenheim Sans" w:cs="Calibri"/>
          <w:sz w:val="18"/>
          <w:szCs w:val="18"/>
          <w:lang w:val="en-US"/>
        </w:rPr>
        <w:t xml:space="preserve">, Villa </w:t>
      </w:r>
      <w:proofErr w:type="spellStart"/>
      <w:r w:rsidR="00E75A5B" w:rsidRPr="00B44AB7">
        <w:rPr>
          <w:rFonts w:ascii="Guggenheim Sans" w:eastAsia="Calibri" w:hAnsi="Guggenheim Sans" w:cs="Calibri"/>
          <w:sz w:val="18"/>
          <w:szCs w:val="18"/>
          <w:lang w:val="en-US"/>
        </w:rPr>
        <w:t>Borsani</w:t>
      </w:r>
      <w:proofErr w:type="spellEnd"/>
      <w:r w:rsidR="00E75A5B" w:rsidRPr="00B44AB7">
        <w:rPr>
          <w:rFonts w:ascii="Guggenheim Sans" w:eastAsia="Calibri" w:hAnsi="Guggenheim Sans" w:cs="Calibri"/>
          <w:sz w:val="18"/>
          <w:szCs w:val="18"/>
          <w:lang w:val="en-US"/>
        </w:rPr>
        <w:t xml:space="preserve">, as well as </w:t>
      </w:r>
      <w:r w:rsidR="00E02587" w:rsidRPr="00B44AB7">
        <w:rPr>
          <w:rFonts w:ascii="Guggenheim Sans" w:eastAsia="Calibri" w:hAnsi="Guggenheim Sans" w:cs="Calibri"/>
          <w:sz w:val="18"/>
          <w:szCs w:val="18"/>
          <w:lang w:val="en-US"/>
        </w:rPr>
        <w:t>a</w:t>
      </w:r>
      <w:r w:rsidR="00E75A5B" w:rsidRPr="00B44AB7">
        <w:rPr>
          <w:rFonts w:ascii="Guggenheim Sans" w:eastAsia="Calibri" w:hAnsi="Guggenheim Sans" w:cs="Calibri"/>
          <w:sz w:val="18"/>
          <w:szCs w:val="18"/>
          <w:lang w:val="en-US"/>
        </w:rPr>
        <w:t>partment buildings—examining the ceramic works that Fontana created in collaboration with leading Italian architects, including Osvaldo Borsani, Roberto Menghi, Mario Righini, and Marco Zanuso. Since these site-specific works are integrated into the city’s architectural and urban fabric, they cannot be exhibited in museum galleries. They are brought to life through this film’s powerful and captivating imagery.</w:t>
      </w:r>
    </w:p>
    <w:p w14:paraId="69EBB022" w14:textId="77777777" w:rsidR="004A5D8D" w:rsidRPr="00B44AB7" w:rsidRDefault="004A5D8D" w:rsidP="004A5D8D">
      <w:pPr>
        <w:spacing w:after="0"/>
        <w:rPr>
          <w:rFonts w:ascii="Guggenheim Sans" w:hAnsi="Guggenheim Sans"/>
          <w:sz w:val="18"/>
          <w:szCs w:val="18"/>
          <w:lang w:val="en-US"/>
        </w:rPr>
      </w:pPr>
    </w:p>
    <w:p w14:paraId="4DB82F7C" w14:textId="379C39B1" w:rsidR="004A5D8D" w:rsidRPr="00B44AB7" w:rsidRDefault="004A5D8D" w:rsidP="004A5D8D">
      <w:pPr>
        <w:spacing w:after="0"/>
        <w:rPr>
          <w:rFonts w:ascii="Guggenheim Sans" w:hAnsi="Guggenheim Sans"/>
          <w:sz w:val="18"/>
          <w:szCs w:val="18"/>
          <w:lang w:val="en-US"/>
        </w:rPr>
      </w:pPr>
      <w:proofErr w:type="gramStart"/>
      <w:r w:rsidRPr="00B44AB7">
        <w:rPr>
          <w:rFonts w:ascii="Guggenheim Sans" w:hAnsi="Guggenheim Sans"/>
          <w:b/>
          <w:bCs/>
          <w:i/>
          <w:iCs/>
          <w:sz w:val="18"/>
          <w:szCs w:val="18"/>
          <w:lang w:val="en-US"/>
        </w:rPr>
        <w:t>Manu-Facture</w:t>
      </w:r>
      <w:proofErr w:type="gramEnd"/>
      <w:r w:rsidRPr="00B44AB7">
        <w:rPr>
          <w:rFonts w:ascii="Guggenheim Sans" w:hAnsi="Guggenheim Sans"/>
          <w:b/>
          <w:bCs/>
          <w:i/>
          <w:iCs/>
          <w:sz w:val="18"/>
          <w:szCs w:val="18"/>
          <w:lang w:val="en-US"/>
        </w:rPr>
        <w:t>: The Ceramics of Lucio Fontana</w:t>
      </w:r>
      <w:r w:rsidRPr="00B44AB7">
        <w:rPr>
          <w:rFonts w:ascii="Guggenheim Sans" w:hAnsi="Guggenheim Sans"/>
          <w:i/>
          <w:iCs/>
          <w:sz w:val="18"/>
          <w:szCs w:val="18"/>
          <w:lang w:val="en-US"/>
        </w:rPr>
        <w:t xml:space="preserve"> </w:t>
      </w:r>
      <w:r w:rsidRPr="00B44AB7">
        <w:rPr>
          <w:rFonts w:ascii="Guggenheim Sans" w:hAnsi="Guggenheim Sans"/>
          <w:sz w:val="18"/>
          <w:szCs w:val="18"/>
          <w:lang w:val="en-US"/>
        </w:rPr>
        <w:t>invites visitors to reconsider Fontana not only as a pioneer of</w:t>
      </w:r>
      <w:r w:rsidRPr="00B44AB7">
        <w:rPr>
          <w:rFonts w:ascii="Guggenheim Sans" w:hAnsi="Guggenheim Sans"/>
          <w:i/>
          <w:iCs/>
          <w:sz w:val="18"/>
          <w:szCs w:val="18"/>
          <w:lang w:val="en-US"/>
        </w:rPr>
        <w:t xml:space="preserve"> </w:t>
      </w:r>
      <w:proofErr w:type="spellStart"/>
      <w:r w:rsidRPr="00B44AB7">
        <w:rPr>
          <w:rFonts w:ascii="Guggenheim Sans" w:hAnsi="Guggenheim Sans"/>
          <w:i/>
          <w:iCs/>
          <w:sz w:val="18"/>
          <w:szCs w:val="18"/>
          <w:lang w:val="en-US"/>
        </w:rPr>
        <w:t>Spazialismo</w:t>
      </w:r>
      <w:proofErr w:type="spellEnd"/>
      <w:r w:rsidRPr="00B44AB7">
        <w:rPr>
          <w:rFonts w:ascii="Guggenheim Sans" w:hAnsi="Guggenheim Sans"/>
          <w:sz w:val="18"/>
          <w:szCs w:val="18"/>
          <w:lang w:val="en-US"/>
        </w:rPr>
        <w:t xml:space="preserve"> and </w:t>
      </w:r>
      <w:r w:rsidR="003A2662" w:rsidRPr="00B44AB7">
        <w:rPr>
          <w:rFonts w:ascii="Guggenheim Sans" w:hAnsi="Guggenheim Sans"/>
          <w:sz w:val="18"/>
          <w:szCs w:val="18"/>
          <w:lang w:val="en-US"/>
        </w:rPr>
        <w:t>C</w:t>
      </w:r>
      <w:r w:rsidRPr="00B44AB7">
        <w:rPr>
          <w:rFonts w:ascii="Guggenheim Sans" w:hAnsi="Guggenheim Sans"/>
          <w:sz w:val="18"/>
          <w:szCs w:val="18"/>
          <w:lang w:val="en-US"/>
        </w:rPr>
        <w:t xml:space="preserve">onceptual </w:t>
      </w:r>
      <w:r w:rsidR="003A2662" w:rsidRPr="00B44AB7">
        <w:rPr>
          <w:rFonts w:ascii="Guggenheim Sans" w:hAnsi="Guggenheim Sans"/>
          <w:sz w:val="18"/>
          <w:szCs w:val="18"/>
          <w:lang w:val="en-US"/>
        </w:rPr>
        <w:t>A</w:t>
      </w:r>
      <w:r w:rsidRPr="00B44AB7">
        <w:rPr>
          <w:rFonts w:ascii="Guggenheim Sans" w:hAnsi="Guggenheim Sans"/>
          <w:sz w:val="18"/>
          <w:szCs w:val="18"/>
          <w:lang w:val="en-US"/>
        </w:rPr>
        <w:t xml:space="preserve">rt but also as a materially engaged artist deeply attuned to the tactile and expressive potential of clay. The exhibition also raises new historical, material, and technical questions about Fontana’s ceramic practice, which one early critic defined as the artist’s “other half” and “second soul.” In contrast to the prevailing, familiar image of Fontana as a lone, hypermasculine, heroic figure violently slashing his canvases, </w:t>
      </w:r>
      <w:r w:rsidR="003A2662" w:rsidRPr="00B44AB7">
        <w:rPr>
          <w:rFonts w:ascii="Guggenheim Sans" w:hAnsi="Guggenheim Sans"/>
          <w:sz w:val="18"/>
          <w:szCs w:val="18"/>
          <w:lang w:val="en-US"/>
        </w:rPr>
        <w:t>the exhibition</w:t>
      </w:r>
      <w:r w:rsidRPr="00B44AB7">
        <w:rPr>
          <w:rFonts w:ascii="Guggenheim Sans" w:hAnsi="Guggenheim Sans"/>
          <w:sz w:val="18"/>
          <w:szCs w:val="18"/>
          <w:lang w:val="en-US"/>
        </w:rPr>
        <w:t xml:space="preserve"> reveals a more informal, intimate, collaborative side of the artist—rooted in clay’s soft physicality and shaped by enduring relationships, such as the one with the</w:t>
      </w:r>
      <w:r w:rsidR="00C17961" w:rsidRPr="00B44AB7">
        <w:rPr>
          <w:rFonts w:ascii="Guggenheim Sans" w:hAnsi="Guggenheim Sans"/>
          <w:sz w:val="18"/>
          <w:szCs w:val="18"/>
          <w:lang w:val="en-US"/>
        </w:rPr>
        <w:t xml:space="preserve"> ceramist and poet Tullio d’Albisola and </w:t>
      </w:r>
      <w:r w:rsidR="003A2662" w:rsidRPr="00B44AB7">
        <w:rPr>
          <w:rFonts w:ascii="Guggenheim Sans" w:hAnsi="Guggenheim Sans"/>
          <w:sz w:val="18"/>
          <w:szCs w:val="18"/>
          <w:lang w:val="en-US"/>
        </w:rPr>
        <w:t xml:space="preserve">the </w:t>
      </w:r>
      <w:r w:rsidRPr="00B44AB7">
        <w:rPr>
          <w:rFonts w:ascii="Guggenheim Sans" w:hAnsi="Guggenheim Sans"/>
          <w:sz w:val="18"/>
          <w:szCs w:val="18"/>
          <w:lang w:val="en-US"/>
        </w:rPr>
        <w:t>Mazzotti ceramic workshop in Albisola. As Hecker puts it, “clay emerges as a vessel for life-affirming experimentation, multiplicity, and generativity.”</w:t>
      </w:r>
    </w:p>
    <w:p w14:paraId="2E027753" w14:textId="227953DC" w:rsidR="004A5D8D" w:rsidRPr="00B44AB7" w:rsidRDefault="003A2662" w:rsidP="004A5D8D">
      <w:pPr>
        <w:spacing w:after="0"/>
        <w:rPr>
          <w:rFonts w:ascii="Guggenheim Sans" w:hAnsi="Guggenheim Sans"/>
          <w:sz w:val="18"/>
          <w:szCs w:val="18"/>
          <w:lang w:val="en-US"/>
        </w:rPr>
      </w:pPr>
      <w:r w:rsidRPr="00B44AB7">
        <w:rPr>
          <w:rFonts w:ascii="Guggenheim Sans" w:hAnsi="Guggenheim Sans"/>
          <w:sz w:val="18"/>
          <w:szCs w:val="18"/>
          <w:lang w:val="en-US"/>
        </w:rPr>
        <w:t xml:space="preserve">A fully </w:t>
      </w:r>
      <w:r w:rsidR="004A5D8D" w:rsidRPr="00B44AB7">
        <w:rPr>
          <w:rFonts w:ascii="Guggenheim Sans" w:hAnsi="Guggenheim Sans"/>
          <w:sz w:val="18"/>
          <w:szCs w:val="18"/>
          <w:lang w:val="en-US"/>
        </w:rPr>
        <w:t xml:space="preserve">illustrated catalog, </w:t>
      </w:r>
      <w:r w:rsidRPr="00B44AB7">
        <w:rPr>
          <w:rFonts w:ascii="Guggenheim Sans" w:hAnsi="Guggenheim Sans"/>
          <w:sz w:val="18"/>
          <w:szCs w:val="18"/>
          <w:lang w:val="en-US"/>
        </w:rPr>
        <w:t xml:space="preserve">published </w:t>
      </w:r>
      <w:r w:rsidR="004A5D8D" w:rsidRPr="00B44AB7">
        <w:rPr>
          <w:rFonts w:ascii="Guggenheim Sans" w:hAnsi="Guggenheim Sans"/>
          <w:sz w:val="18"/>
          <w:szCs w:val="18"/>
          <w:lang w:val="en-US"/>
        </w:rPr>
        <w:t>by Marsilio Arte, featur</w:t>
      </w:r>
      <w:r w:rsidRPr="00B44AB7">
        <w:rPr>
          <w:rFonts w:ascii="Guggenheim Sans" w:hAnsi="Guggenheim Sans"/>
          <w:sz w:val="18"/>
          <w:szCs w:val="18"/>
          <w:lang w:val="en-US"/>
        </w:rPr>
        <w:t>es</w:t>
      </w:r>
      <w:r w:rsidR="004A5D8D" w:rsidRPr="00B44AB7">
        <w:rPr>
          <w:rFonts w:ascii="Guggenheim Sans" w:hAnsi="Guggenheim Sans"/>
          <w:sz w:val="18"/>
          <w:szCs w:val="18"/>
          <w:lang w:val="en-US"/>
        </w:rPr>
        <w:t xml:space="preserve"> essays by curator Hecker, as well as Raffaele Bedarida, Luca Bochicchio, Elena Dellapiana, Aja Martin, Paolo Scrivano, and Yasuko Tsuchikane, all dedicated to Fontana’s ceramic practice and its historical, social, and cultural contexts. </w:t>
      </w:r>
    </w:p>
    <w:p w14:paraId="179EAB2A" w14:textId="77777777" w:rsidR="004A5D8D" w:rsidRPr="00B44AB7" w:rsidRDefault="004A5D8D" w:rsidP="004A5D8D">
      <w:pPr>
        <w:spacing w:after="0"/>
        <w:rPr>
          <w:rFonts w:ascii="Guggenheim Sans" w:hAnsi="Guggenheim Sans"/>
          <w:sz w:val="18"/>
          <w:szCs w:val="18"/>
          <w:lang w:val="en-US"/>
        </w:rPr>
      </w:pPr>
    </w:p>
    <w:p w14:paraId="2FA8655F" w14:textId="77777777" w:rsidR="004A5D8D" w:rsidRPr="00B44AB7" w:rsidRDefault="004A5D8D" w:rsidP="004A5D8D">
      <w:pPr>
        <w:spacing w:after="0"/>
        <w:rPr>
          <w:rFonts w:ascii="Guggenheim Sans" w:hAnsi="Guggenheim Sans"/>
          <w:sz w:val="18"/>
          <w:szCs w:val="18"/>
          <w:lang w:val="en-US"/>
        </w:rPr>
      </w:pPr>
      <w:r w:rsidRPr="00B44AB7">
        <w:rPr>
          <w:rFonts w:ascii="Guggenheim Sans" w:hAnsi="Guggenheim Sans"/>
          <w:sz w:val="18"/>
          <w:szCs w:val="18"/>
          <w:lang w:val="en-US"/>
        </w:rPr>
        <w:t>A rich program of free collateral events also accompanies the show, exploring and interpreting the artist’s practice and visual idiom, organized with the support of Fondazione Araldi Guinetti, Vaduz.</w:t>
      </w:r>
    </w:p>
    <w:p w14:paraId="0665D4AE" w14:textId="77777777" w:rsidR="004A5D8D" w:rsidRPr="00B44AB7" w:rsidRDefault="004A5D8D" w:rsidP="004A5D8D">
      <w:pPr>
        <w:spacing w:after="0"/>
        <w:rPr>
          <w:rFonts w:ascii="Guggenheim Sans" w:hAnsi="Guggenheim Sans"/>
          <w:sz w:val="18"/>
          <w:szCs w:val="18"/>
          <w:lang w:val="en-US"/>
        </w:rPr>
      </w:pPr>
    </w:p>
    <w:p w14:paraId="6A45CC85" w14:textId="77777777" w:rsidR="004A5D8D" w:rsidRDefault="004A5D8D" w:rsidP="004A5D8D">
      <w:pPr>
        <w:spacing w:after="0"/>
        <w:rPr>
          <w:rFonts w:ascii="Guggenheim Sans" w:hAnsi="Guggenheim Sans"/>
          <w:sz w:val="18"/>
          <w:szCs w:val="18"/>
          <w:lang w:val="en-US"/>
        </w:rPr>
      </w:pPr>
      <w:proofErr w:type="gramStart"/>
      <w:r w:rsidRPr="00B44AB7">
        <w:rPr>
          <w:rFonts w:ascii="Guggenheim Sans" w:hAnsi="Guggenheim Sans"/>
          <w:i/>
          <w:iCs/>
          <w:sz w:val="18"/>
          <w:szCs w:val="18"/>
          <w:lang w:val="en-US"/>
        </w:rPr>
        <w:t>Manu-Facture</w:t>
      </w:r>
      <w:proofErr w:type="gramEnd"/>
      <w:r w:rsidRPr="00B44AB7">
        <w:rPr>
          <w:rFonts w:ascii="Guggenheim Sans" w:hAnsi="Guggenheim Sans"/>
          <w:i/>
          <w:iCs/>
          <w:sz w:val="18"/>
          <w:szCs w:val="18"/>
          <w:lang w:val="en-US"/>
        </w:rPr>
        <w:t xml:space="preserve">: The Ceramics of Lucio Fontana </w:t>
      </w:r>
      <w:r w:rsidRPr="00B44AB7">
        <w:rPr>
          <w:rFonts w:ascii="Guggenheim Sans" w:hAnsi="Guggenheim Sans"/>
          <w:sz w:val="18"/>
          <w:szCs w:val="18"/>
          <w:lang w:val="en-US"/>
        </w:rPr>
        <w:t xml:space="preserve">is supported by </w:t>
      </w:r>
      <w:r w:rsidRPr="00B44AB7">
        <w:rPr>
          <w:rFonts w:ascii="Guggenheim Sans" w:hAnsi="Guggenheim Sans"/>
          <w:b/>
          <w:bCs/>
          <w:sz w:val="18"/>
          <w:szCs w:val="18"/>
          <w:lang w:val="en-US"/>
        </w:rPr>
        <w:t>Bottega Veneta</w:t>
      </w:r>
      <w:r w:rsidRPr="00B44AB7">
        <w:rPr>
          <w:rFonts w:ascii="Guggenheim Sans" w:hAnsi="Guggenheim Sans"/>
          <w:sz w:val="18"/>
          <w:szCs w:val="18"/>
          <w:lang w:val="en-US"/>
        </w:rPr>
        <w:t>.</w:t>
      </w:r>
    </w:p>
    <w:p w14:paraId="29F54D3C" w14:textId="77777777" w:rsidR="00A42870" w:rsidRDefault="00A42870" w:rsidP="004A5D8D">
      <w:pPr>
        <w:spacing w:after="0"/>
        <w:rPr>
          <w:rFonts w:ascii="Guggenheim Sans" w:hAnsi="Guggenheim Sans"/>
          <w:sz w:val="18"/>
          <w:szCs w:val="18"/>
          <w:lang w:val="en-US"/>
        </w:rPr>
      </w:pPr>
    </w:p>
    <w:p w14:paraId="2A0A0196" w14:textId="77777777" w:rsidR="00A42870" w:rsidRDefault="00A42870" w:rsidP="004A5D8D">
      <w:pPr>
        <w:spacing w:after="0"/>
        <w:rPr>
          <w:rFonts w:ascii="Guggenheim Sans" w:hAnsi="Guggenheim Sans"/>
          <w:sz w:val="18"/>
          <w:szCs w:val="18"/>
          <w:lang w:val="en-US"/>
        </w:rPr>
      </w:pPr>
    </w:p>
    <w:p w14:paraId="53CED74C" w14:textId="77777777" w:rsidR="00A42870" w:rsidRDefault="00A42870" w:rsidP="004A5D8D">
      <w:pPr>
        <w:spacing w:after="0"/>
        <w:rPr>
          <w:rFonts w:ascii="Guggenheim Sans" w:hAnsi="Guggenheim Sans"/>
          <w:sz w:val="18"/>
          <w:szCs w:val="18"/>
          <w:lang w:val="en-US"/>
        </w:rPr>
      </w:pPr>
    </w:p>
    <w:p w14:paraId="7AA85C94" w14:textId="77777777" w:rsidR="00A42870" w:rsidRDefault="00A42870" w:rsidP="004A5D8D">
      <w:pPr>
        <w:spacing w:after="0"/>
        <w:rPr>
          <w:rFonts w:ascii="Guggenheim Sans" w:hAnsi="Guggenheim Sans"/>
          <w:sz w:val="18"/>
          <w:szCs w:val="18"/>
          <w:lang w:val="en-US"/>
        </w:rPr>
      </w:pPr>
    </w:p>
    <w:p w14:paraId="6E02CDFE" w14:textId="77777777" w:rsidR="00A42870" w:rsidRPr="00B44AB7" w:rsidRDefault="00A42870" w:rsidP="004A5D8D">
      <w:pPr>
        <w:spacing w:after="0"/>
        <w:rPr>
          <w:rFonts w:ascii="Guggenheim Sans" w:hAnsi="Guggenheim Sans"/>
          <w:sz w:val="18"/>
          <w:szCs w:val="18"/>
          <w:lang w:val="en-US"/>
        </w:rPr>
      </w:pPr>
    </w:p>
    <w:p w14:paraId="6D83C613" w14:textId="12C3F072" w:rsidR="00EB1D81" w:rsidRPr="005A76B9" w:rsidRDefault="00EB1D81" w:rsidP="00172A63">
      <w:pPr>
        <w:spacing w:after="0"/>
        <w:rPr>
          <w:rFonts w:ascii="Guggenheim Sans" w:hAnsi="Guggenheim Sans"/>
          <w:sz w:val="18"/>
          <w:szCs w:val="18"/>
          <w:lang w:val="en-US"/>
        </w:rPr>
      </w:pPr>
    </w:p>
    <w:p w14:paraId="7352BFE9" w14:textId="77777777" w:rsidR="00EB1D81" w:rsidRPr="005A76B9" w:rsidRDefault="00EB1D81" w:rsidP="00172A63">
      <w:pPr>
        <w:spacing w:after="0"/>
        <w:rPr>
          <w:rFonts w:ascii="Guggenheim Sans" w:hAnsi="Guggenheim Sans"/>
          <w:sz w:val="18"/>
          <w:szCs w:val="18"/>
          <w:lang w:val="en-US"/>
        </w:rPr>
      </w:pPr>
    </w:p>
    <w:p w14:paraId="1B407AC8" w14:textId="7F770555" w:rsidR="004A5D8D" w:rsidRDefault="00AC6182" w:rsidP="00172A63">
      <w:pPr>
        <w:spacing w:after="0"/>
        <w:rPr>
          <w:rFonts w:ascii="Guggenheim Sans" w:hAnsi="Guggenheim Sans"/>
          <w:sz w:val="16"/>
          <w:szCs w:val="16"/>
          <w:lang w:val="en-US"/>
        </w:rPr>
      </w:pPr>
      <w:r w:rsidRPr="00AC6182">
        <w:rPr>
          <w:rFonts w:ascii="Guggenheim Sans" w:hAnsi="Guggenheim Sans"/>
          <w:sz w:val="16"/>
          <w:szCs w:val="16"/>
          <w:lang w:val="en-US"/>
        </w:rPr>
        <w:t>The Peggy Guggenheim Collection acknowledges the Advisory Board, Lavazza inclusivity supporter and:</w:t>
      </w:r>
    </w:p>
    <w:p w14:paraId="74DA9F18" w14:textId="77777777" w:rsidR="00AC6182" w:rsidRPr="00AC6182" w:rsidRDefault="00AC6182" w:rsidP="00172A63">
      <w:pPr>
        <w:spacing w:after="0"/>
        <w:rPr>
          <w:rFonts w:ascii="Guggenheim Sans" w:hAnsi="Guggenheim Sans"/>
          <w:sz w:val="16"/>
          <w:szCs w:val="16"/>
          <w:lang w:val="en-US"/>
        </w:rPr>
      </w:pPr>
    </w:p>
    <w:p w14:paraId="71330A38" w14:textId="77777777" w:rsidR="00A545EF" w:rsidRPr="00AC6182" w:rsidRDefault="00A545EF" w:rsidP="00A545EF">
      <w:pPr>
        <w:rPr>
          <w:rFonts w:ascii="Guggenheim Sans" w:hAnsi="Guggenheim Sans"/>
          <w:sz w:val="18"/>
          <w:szCs w:val="18"/>
          <w:lang w:val="en-US"/>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3" w:type="dxa"/>
        </w:tblCellMar>
        <w:tblLook w:val="04A0" w:firstRow="1" w:lastRow="0" w:firstColumn="1" w:lastColumn="0" w:noHBand="0" w:noVBand="1"/>
      </w:tblPr>
      <w:tblGrid>
        <w:gridCol w:w="2662"/>
        <w:gridCol w:w="149"/>
        <w:gridCol w:w="2534"/>
        <w:gridCol w:w="2818"/>
      </w:tblGrid>
      <w:tr w:rsidR="00087320" w:rsidRPr="00D80190" w14:paraId="5B15DCEA" w14:textId="77777777" w:rsidTr="00032D0C">
        <w:tc>
          <w:tcPr>
            <w:tcW w:w="1631" w:type="pct"/>
          </w:tcPr>
          <w:p w14:paraId="09B77555" w14:textId="77777777" w:rsidR="00087320" w:rsidRPr="00D80190" w:rsidRDefault="00087320" w:rsidP="00032D0C">
            <w:pPr>
              <w:rPr>
                <w:rFonts w:ascii="Guggenheim Sans" w:hAnsi="Guggenheim Sans"/>
              </w:rPr>
            </w:pPr>
            <w:r w:rsidRPr="00D80190">
              <w:rPr>
                <w:rFonts w:ascii="Guggenheim Sans" w:hAnsi="Guggenheim Sans"/>
                <w:noProof/>
              </w:rPr>
              <w:drawing>
                <wp:inline distT="0" distB="0" distL="0" distR="0" wp14:anchorId="7B94F358" wp14:editId="059B0D14">
                  <wp:extent cx="1292400" cy="277200"/>
                  <wp:effectExtent l="0" t="0" r="3175" b="0"/>
                  <wp:docPr id="585991971" name="Immagine 4"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91971" name="Immagine 4" descr="Immagine che contiene nero, oscurità&#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400" cy="277200"/>
                          </a:xfrm>
                          <a:prstGeom prst="rect">
                            <a:avLst/>
                          </a:prstGeom>
                        </pic:spPr>
                      </pic:pic>
                    </a:graphicData>
                  </a:graphic>
                </wp:inline>
              </w:drawing>
            </w:r>
          </w:p>
        </w:tc>
        <w:tc>
          <w:tcPr>
            <w:tcW w:w="1642" w:type="pct"/>
            <w:gridSpan w:val="2"/>
          </w:tcPr>
          <w:p w14:paraId="5E1CEE35" w14:textId="77777777" w:rsidR="00087320" w:rsidRPr="00D80190" w:rsidRDefault="00087320" w:rsidP="00032D0C">
            <w:pPr>
              <w:rPr>
                <w:rFonts w:ascii="Guggenheim Sans" w:hAnsi="Guggenheim Sans"/>
              </w:rPr>
            </w:pPr>
            <w:r w:rsidRPr="00D80190">
              <w:rPr>
                <w:rFonts w:ascii="Guggenheim Sans" w:hAnsi="Guggenheim Sans"/>
                <w:noProof/>
              </w:rPr>
              <w:drawing>
                <wp:inline distT="0" distB="0" distL="0" distR="0" wp14:anchorId="249D52E3" wp14:editId="3F597731">
                  <wp:extent cx="975600" cy="277200"/>
                  <wp:effectExtent l="0" t="0" r="0" b="8890"/>
                  <wp:docPr id="1281449420" name="Immagine 5"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49420" name="Immagine 5" descr="Immagine che contiene nero, oscurità&#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277200"/>
                          </a:xfrm>
                          <a:prstGeom prst="rect">
                            <a:avLst/>
                          </a:prstGeom>
                        </pic:spPr>
                      </pic:pic>
                    </a:graphicData>
                  </a:graphic>
                </wp:inline>
              </w:drawing>
            </w:r>
          </w:p>
        </w:tc>
        <w:tc>
          <w:tcPr>
            <w:tcW w:w="1727" w:type="pct"/>
          </w:tcPr>
          <w:p w14:paraId="16EB472A" w14:textId="77777777" w:rsidR="00087320" w:rsidRPr="00D80190" w:rsidRDefault="00087320" w:rsidP="00032D0C">
            <w:pPr>
              <w:rPr>
                <w:rFonts w:ascii="Guggenheim Sans" w:hAnsi="Guggenheim Sans"/>
              </w:rPr>
            </w:pPr>
            <w:r w:rsidRPr="00D80190">
              <w:rPr>
                <w:rFonts w:ascii="Guggenheim Sans" w:hAnsi="Guggenheim Sans"/>
                <w:noProof/>
              </w:rPr>
              <w:drawing>
                <wp:inline distT="0" distB="0" distL="0" distR="0" wp14:anchorId="7F5F9554" wp14:editId="663E7854">
                  <wp:extent cx="1490400" cy="277200"/>
                  <wp:effectExtent l="0" t="0" r="0" b="0"/>
                  <wp:docPr id="584667305" name="Immagine 6"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7305" name="Immagine 6" descr="Immagine che contiene nero, oscurità&#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0400" cy="277200"/>
                          </a:xfrm>
                          <a:prstGeom prst="rect">
                            <a:avLst/>
                          </a:prstGeom>
                        </pic:spPr>
                      </pic:pic>
                    </a:graphicData>
                  </a:graphic>
                </wp:inline>
              </w:drawing>
            </w:r>
          </w:p>
        </w:tc>
      </w:tr>
      <w:tr w:rsidR="00087320" w:rsidRPr="00D80190" w14:paraId="5EFF19FD" w14:textId="77777777" w:rsidTr="00032D0C">
        <w:tc>
          <w:tcPr>
            <w:tcW w:w="1631" w:type="pct"/>
          </w:tcPr>
          <w:p w14:paraId="70C8E1DC" w14:textId="77777777" w:rsidR="00087320" w:rsidRPr="00D80190" w:rsidRDefault="00087320" w:rsidP="00032D0C">
            <w:pPr>
              <w:rPr>
                <w:rFonts w:ascii="Guggenheim Sans" w:hAnsi="Guggenheim Sans"/>
              </w:rPr>
            </w:pPr>
            <w:r w:rsidRPr="00D80190">
              <w:rPr>
                <w:rFonts w:ascii="Guggenheim Sans" w:hAnsi="Guggenheim Sans"/>
                <w:noProof/>
                <w:lang w:val="en-US"/>
              </w:rPr>
              <w:drawing>
                <wp:inline distT="0" distB="0" distL="0" distR="0" wp14:anchorId="7D9F8158" wp14:editId="7320461B">
                  <wp:extent cx="334800" cy="154800"/>
                  <wp:effectExtent l="0" t="0" r="8255" b="0"/>
                  <wp:docPr id="199614385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3858" name="Immagin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4800" cy="154800"/>
                          </a:xfrm>
                          <a:prstGeom prst="rect">
                            <a:avLst/>
                          </a:prstGeom>
                          <a:noFill/>
                          <a:ln>
                            <a:noFill/>
                          </a:ln>
                        </pic:spPr>
                      </pic:pic>
                    </a:graphicData>
                  </a:graphic>
                </wp:inline>
              </w:drawing>
            </w:r>
          </w:p>
        </w:tc>
        <w:tc>
          <w:tcPr>
            <w:tcW w:w="91" w:type="pct"/>
          </w:tcPr>
          <w:p w14:paraId="658DA17E" w14:textId="77777777" w:rsidR="00087320" w:rsidRPr="00D80190" w:rsidRDefault="00087320" w:rsidP="00032D0C">
            <w:pPr>
              <w:rPr>
                <w:rFonts w:ascii="Guggenheim Sans" w:hAnsi="Guggenheim Sans" w:cs="Arial"/>
              </w:rPr>
            </w:pPr>
          </w:p>
        </w:tc>
        <w:tc>
          <w:tcPr>
            <w:tcW w:w="1552" w:type="pct"/>
          </w:tcPr>
          <w:p w14:paraId="05794042" w14:textId="20598C70" w:rsidR="00087320" w:rsidRPr="009437BC" w:rsidRDefault="00087320" w:rsidP="00032D0C">
            <w:pPr>
              <w:rPr>
                <w:rFonts w:ascii="Guggenheim Sans Medium" w:hAnsi="Guggenheim Sans Medium"/>
                <w:sz w:val="16"/>
                <w:szCs w:val="16"/>
              </w:rPr>
            </w:pPr>
            <w:r w:rsidRPr="009437BC">
              <w:rPr>
                <w:rFonts w:ascii="Guggenheim Sans Medium" w:hAnsi="Guggenheim Sans Medium" w:cs="Arial"/>
                <w:sz w:val="16"/>
                <w:szCs w:val="16"/>
              </w:rPr>
              <w:t xml:space="preserve">Allegrini + Apice + </w:t>
            </w:r>
            <w:proofErr w:type="spellStart"/>
            <w:r w:rsidRPr="009437BC">
              <w:rPr>
                <w:rFonts w:ascii="Guggenheim Sans Medium" w:hAnsi="Guggenheim Sans Medium" w:cs="Arial"/>
                <w:sz w:val="16"/>
                <w:szCs w:val="16"/>
              </w:rPr>
              <w:t>Arper</w:t>
            </w:r>
            <w:proofErr w:type="spellEnd"/>
            <w:r w:rsidRPr="009437BC">
              <w:rPr>
                <w:rFonts w:ascii="Guggenheim Sans Medium" w:hAnsi="Guggenheim Sans Medium" w:cs="Arial"/>
                <w:sz w:val="16"/>
                <w:szCs w:val="16"/>
              </w:rPr>
              <w:t xml:space="preserve"> + </w:t>
            </w:r>
            <w:proofErr w:type="spellStart"/>
            <w:r w:rsidRPr="009437BC">
              <w:rPr>
                <w:rFonts w:ascii="Guggenheim Sans Medium" w:hAnsi="Guggenheim Sans Medium" w:cs="Arial"/>
                <w:sz w:val="16"/>
                <w:szCs w:val="16"/>
              </w:rPr>
              <w:t>Eurofood</w:t>
            </w:r>
            <w:proofErr w:type="spellEnd"/>
            <w:r w:rsidRPr="009437BC">
              <w:rPr>
                <w:rFonts w:ascii="Guggenheim Sans Medium" w:hAnsi="Guggenheim Sans Medium" w:cs="Arial"/>
                <w:sz w:val="16"/>
                <w:szCs w:val="16"/>
              </w:rPr>
              <w:t xml:space="preserve"> + </w:t>
            </w:r>
            <w:proofErr w:type="spellStart"/>
            <w:r w:rsidRPr="009437BC">
              <w:rPr>
                <w:rFonts w:ascii="Guggenheim Sans Medium" w:hAnsi="Guggenheim Sans Medium" w:cs="Arial"/>
                <w:sz w:val="16"/>
                <w:szCs w:val="16"/>
              </w:rPr>
              <w:t>Florim</w:t>
            </w:r>
            <w:proofErr w:type="spellEnd"/>
            <w:r w:rsidRPr="009437BC">
              <w:rPr>
                <w:rFonts w:ascii="Guggenheim Sans Medium" w:hAnsi="Guggenheim Sans Medium" w:cs="Arial"/>
                <w:sz w:val="16"/>
                <w:szCs w:val="16"/>
              </w:rPr>
              <w:t xml:space="preserve"> + Hangar Design Group + </w:t>
            </w:r>
            <w:proofErr w:type="spellStart"/>
            <w:r w:rsidRPr="009437BC">
              <w:rPr>
                <w:rFonts w:ascii="Guggenheim Sans Medium" w:hAnsi="Guggenheim Sans Medium" w:cs="Arial"/>
                <w:sz w:val="16"/>
                <w:szCs w:val="16"/>
              </w:rPr>
              <w:t>Itago</w:t>
            </w:r>
            <w:proofErr w:type="spellEnd"/>
            <w:r w:rsidRPr="009437BC">
              <w:rPr>
                <w:rFonts w:ascii="Guggenheim Sans Medium" w:hAnsi="Guggenheim Sans Medium" w:cs="Arial"/>
                <w:sz w:val="16"/>
                <w:szCs w:val="16"/>
              </w:rPr>
              <w:t xml:space="preserve"> + Mapei + </w:t>
            </w:r>
            <w:proofErr w:type="spellStart"/>
            <w:r w:rsidR="004A5D8D" w:rsidRPr="004A5D8D">
              <w:rPr>
                <w:rFonts w:ascii="Guggenheim Sans Medium" w:hAnsi="Guggenheim Sans Medium" w:cs="Arial"/>
                <w:sz w:val="16"/>
                <w:szCs w:val="16"/>
              </w:rPr>
              <w:t>Pettenon</w:t>
            </w:r>
            <w:proofErr w:type="spellEnd"/>
            <w:r w:rsidR="004A5D8D" w:rsidRPr="004A5D8D">
              <w:rPr>
                <w:rFonts w:ascii="Guggenheim Sans Medium" w:hAnsi="Guggenheim Sans Medium" w:cs="Arial"/>
                <w:sz w:val="16"/>
                <w:szCs w:val="16"/>
              </w:rPr>
              <w:t xml:space="preserve"> </w:t>
            </w:r>
            <w:proofErr w:type="spellStart"/>
            <w:r w:rsidR="004A5D8D" w:rsidRPr="004A5D8D">
              <w:rPr>
                <w:rFonts w:ascii="Guggenheim Sans Medium" w:hAnsi="Guggenheim Sans Medium" w:cs="Arial"/>
                <w:sz w:val="16"/>
                <w:szCs w:val="16"/>
              </w:rPr>
              <w:t>Cosmetics</w:t>
            </w:r>
            <w:proofErr w:type="spellEnd"/>
            <w:r w:rsidR="004A5D8D" w:rsidRPr="004A5D8D">
              <w:rPr>
                <w:rFonts w:ascii="Guggenheim Sans Medium" w:hAnsi="Guggenheim Sans Medium" w:cs="Arial"/>
                <w:sz w:val="16"/>
                <w:szCs w:val="16"/>
              </w:rPr>
              <w:t xml:space="preserve"> </w:t>
            </w:r>
            <w:r w:rsidR="004A5D8D">
              <w:rPr>
                <w:rFonts w:ascii="Guggenheim Sans Medium" w:hAnsi="Guggenheim Sans Medium" w:cs="Arial"/>
                <w:sz w:val="16"/>
                <w:szCs w:val="16"/>
              </w:rPr>
              <w:t xml:space="preserve">+ </w:t>
            </w:r>
            <w:r w:rsidRPr="009437BC">
              <w:rPr>
                <w:rFonts w:ascii="Guggenheim Sans Medium" w:hAnsi="Guggenheim Sans Medium" w:cs="Arial"/>
                <w:sz w:val="16"/>
                <w:szCs w:val="16"/>
              </w:rPr>
              <w:t>René Caovilla + Roberto Coin + Rubelli + Swatch + Villa Sandi</w:t>
            </w:r>
          </w:p>
        </w:tc>
        <w:tc>
          <w:tcPr>
            <w:tcW w:w="1727" w:type="pct"/>
          </w:tcPr>
          <w:p w14:paraId="17A2E385" w14:textId="77777777" w:rsidR="00087320" w:rsidRPr="00D80190" w:rsidRDefault="00087320" w:rsidP="00032D0C">
            <w:pPr>
              <w:rPr>
                <w:rFonts w:ascii="Guggenheim Sans" w:hAnsi="Guggenheim Sans"/>
              </w:rPr>
            </w:pPr>
          </w:p>
        </w:tc>
      </w:tr>
    </w:tbl>
    <w:p w14:paraId="73BC375D" w14:textId="1558C62D" w:rsidR="009B71BE" w:rsidRPr="00A545EF" w:rsidRDefault="009B71BE" w:rsidP="00087320">
      <w:pPr>
        <w:rPr>
          <w:rFonts w:ascii="Guggenheim Sans" w:hAnsi="Guggenheim Sans"/>
          <w:sz w:val="18"/>
          <w:szCs w:val="18"/>
        </w:rPr>
      </w:pPr>
    </w:p>
    <w:sectPr w:rsidR="009B71BE" w:rsidRPr="00A545EF" w:rsidSect="00172A63">
      <w:headerReference w:type="default" r:id="rId12"/>
      <w:headerReference w:type="first" r:id="rId13"/>
      <w:footerReference w:type="first" r:id="rId14"/>
      <w:pgSz w:w="11906" w:h="16838"/>
      <w:pgMar w:top="1701" w:right="624" w:bottom="624" w:left="3119" w:header="170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1822" w14:textId="77777777" w:rsidR="00612B25" w:rsidRDefault="00612B25" w:rsidP="00CE5049">
      <w:pPr>
        <w:spacing w:after="0"/>
      </w:pPr>
      <w:r>
        <w:separator/>
      </w:r>
    </w:p>
  </w:endnote>
  <w:endnote w:type="continuationSeparator" w:id="0">
    <w:p w14:paraId="4E0381D4" w14:textId="77777777" w:rsidR="00612B25" w:rsidRDefault="00612B25" w:rsidP="00CE50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uggenheim Sans">
    <w:panose1 w:val="00000000000000000000"/>
    <w:charset w:val="00"/>
    <w:family w:val="modern"/>
    <w:notTrueType/>
    <w:pitch w:val="variable"/>
    <w:sig w:usb0="A000006F" w:usb1="0000005B" w:usb2="00000000" w:usb3="00000000" w:csb0="00000093" w:csb1="00000000"/>
  </w:font>
  <w:font w:name="Calibri">
    <w:panose1 w:val="020F0502020204030204"/>
    <w:charset w:val="00"/>
    <w:family w:val="swiss"/>
    <w:pitch w:val="variable"/>
    <w:sig w:usb0="E4002EFF" w:usb1="C000247B" w:usb2="00000009" w:usb3="00000000" w:csb0="000001FF" w:csb1="00000000"/>
  </w:font>
  <w:font w:name="Guggenheim Sans Medium">
    <w:altName w:val="Calibri"/>
    <w:panose1 w:val="00000000000000000000"/>
    <w:charset w:val="00"/>
    <w:family w:val="modern"/>
    <w:notTrueType/>
    <w:pitch w:val="variable"/>
    <w:sig w:usb0="A000006F" w:usb1="00000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E9B5" w14:textId="0BD251B6" w:rsidR="00EE3E46" w:rsidRDefault="00EE3E46">
    <w:pPr>
      <w:pStyle w:val="Pidipagina"/>
    </w:pPr>
    <w:r>
      <w:rPr>
        <w:noProof/>
      </w:rPr>
      <w:drawing>
        <wp:anchor distT="0" distB="0" distL="114300" distR="114300" simplePos="0" relativeHeight="251660288" behindDoc="1" locked="0" layoutInCell="1" allowOverlap="1" wp14:anchorId="1E95743B" wp14:editId="073EFBFC">
          <wp:simplePos x="0" y="0"/>
          <wp:positionH relativeFrom="page">
            <wp:align>center</wp:align>
          </wp:positionH>
          <wp:positionV relativeFrom="page">
            <wp:align>bottom</wp:align>
          </wp:positionV>
          <wp:extent cx="7560000" cy="1609200"/>
          <wp:effectExtent l="0" t="0" r="3175" b="0"/>
          <wp:wrapNone/>
          <wp:docPr id="16011598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59875"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E8AE" w14:textId="77777777" w:rsidR="00612B25" w:rsidRDefault="00612B25" w:rsidP="00CE5049">
      <w:pPr>
        <w:spacing w:after="0"/>
      </w:pPr>
      <w:r>
        <w:separator/>
      </w:r>
    </w:p>
  </w:footnote>
  <w:footnote w:type="continuationSeparator" w:id="0">
    <w:p w14:paraId="475E3F80" w14:textId="77777777" w:rsidR="00612B25" w:rsidRDefault="00612B25" w:rsidP="00CE50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BF1" w14:textId="3C7F66A7" w:rsidR="00CE5049" w:rsidRPr="00CE5049" w:rsidRDefault="00CE5049" w:rsidP="00CE5049">
    <w:pPr>
      <w:pStyle w:val="Intestazione"/>
    </w:pPr>
    <w:r>
      <w:rPr>
        <w:noProof/>
      </w:rPr>
      <w:drawing>
        <wp:anchor distT="0" distB="0" distL="114300" distR="114300" simplePos="0" relativeHeight="251659264" behindDoc="1" locked="0" layoutInCell="1" allowOverlap="1" wp14:anchorId="7E91E3A4" wp14:editId="50B948B3">
          <wp:simplePos x="0" y="9525"/>
          <wp:positionH relativeFrom="page">
            <wp:align>center</wp:align>
          </wp:positionH>
          <wp:positionV relativeFrom="page">
            <wp:align>top</wp:align>
          </wp:positionV>
          <wp:extent cx="7560000" cy="902322"/>
          <wp:effectExtent l="0" t="0" r="3175" b="0"/>
          <wp:wrapNone/>
          <wp:docPr id="19480727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84083"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60000" cy="90232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094E" w14:textId="77777777" w:rsidR="001C1530" w:rsidRDefault="00984578" w:rsidP="001C1530">
    <w:pPr>
      <w:pStyle w:val="Intestazione"/>
      <w:ind w:left="-2552"/>
      <w:rPr>
        <w:sz w:val="16"/>
        <w:szCs w:val="16"/>
      </w:rPr>
    </w:pPr>
    <w:r>
      <w:rPr>
        <w:noProof/>
      </w:rPr>
      <w:drawing>
        <wp:anchor distT="0" distB="0" distL="114300" distR="114300" simplePos="0" relativeHeight="251658240" behindDoc="1" locked="0" layoutInCell="1" allowOverlap="1" wp14:anchorId="427B5F94" wp14:editId="7045D88E">
          <wp:simplePos x="0" y="0"/>
          <wp:positionH relativeFrom="page">
            <wp:align>center</wp:align>
          </wp:positionH>
          <wp:positionV relativeFrom="page">
            <wp:align>top</wp:align>
          </wp:positionV>
          <wp:extent cx="7560000" cy="903600"/>
          <wp:effectExtent l="0" t="0" r="3175" b="0"/>
          <wp:wrapNone/>
          <wp:docPr id="19789391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201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tbl>
    <w:tblPr>
      <w:tblStyle w:val="Grigliatabella"/>
      <w:tblW w:w="10769" w:type="dxa"/>
      <w:tblInd w:w="-2552" w:type="dxa"/>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69"/>
    </w:tblGrid>
    <w:tr w:rsidR="001C1530" w14:paraId="2D1A5C77" w14:textId="77777777" w:rsidTr="000E5B5A">
      <w:tc>
        <w:tcPr>
          <w:tcW w:w="10769" w:type="dxa"/>
        </w:tcPr>
        <w:p w14:paraId="43BFB89E" w14:textId="43681540" w:rsidR="001C1530" w:rsidRPr="00510290" w:rsidRDefault="003C302D" w:rsidP="001C1530">
          <w:pPr>
            <w:pStyle w:val="Intestazione"/>
            <w:tabs>
              <w:tab w:val="clear" w:pos="9638"/>
            </w:tabs>
            <w:ind w:right="-2716"/>
            <w:rPr>
              <w:rFonts w:ascii="Guggenheim Sans" w:hAnsi="Guggenheim Sans"/>
              <w:b/>
              <w:bCs/>
              <w:sz w:val="32"/>
              <w:szCs w:val="32"/>
            </w:rPr>
          </w:pPr>
          <w:r w:rsidRPr="00510290">
            <w:rPr>
              <w:rFonts w:ascii="Guggenheim Sans" w:hAnsi="Guggenheim Sans"/>
              <w:b/>
              <w:bCs/>
              <w:sz w:val="32"/>
              <w:szCs w:val="32"/>
            </w:rPr>
            <w:t>Press Release</w:t>
          </w:r>
        </w:p>
      </w:tc>
    </w:tr>
  </w:tbl>
  <w:p w14:paraId="440C8ED6" w14:textId="77777777" w:rsidR="00984FAC" w:rsidRDefault="00984FAC" w:rsidP="000F777B">
    <w:pPr>
      <w:pStyle w:val="Intestazione"/>
      <w:rPr>
        <w:sz w:val="16"/>
        <w:szCs w:val="16"/>
      </w:rPr>
    </w:pPr>
  </w:p>
  <w:p w14:paraId="43210D1C" w14:textId="77777777" w:rsidR="001241D3" w:rsidRDefault="001241D3" w:rsidP="000F777B">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B5571"/>
    <w:multiLevelType w:val="hybridMultilevel"/>
    <w:tmpl w:val="3CD04C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935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49"/>
    <w:rsid w:val="00004041"/>
    <w:rsid w:val="00075EFF"/>
    <w:rsid w:val="00087320"/>
    <w:rsid w:val="00097819"/>
    <w:rsid w:val="00097BAA"/>
    <w:rsid w:val="000E5B5A"/>
    <w:rsid w:val="000F777B"/>
    <w:rsid w:val="00123463"/>
    <w:rsid w:val="001241D3"/>
    <w:rsid w:val="00133767"/>
    <w:rsid w:val="00134D4E"/>
    <w:rsid w:val="001535DF"/>
    <w:rsid w:val="0016741E"/>
    <w:rsid w:val="00172A63"/>
    <w:rsid w:val="00185855"/>
    <w:rsid w:val="001A563C"/>
    <w:rsid w:val="001A6602"/>
    <w:rsid w:val="001C1530"/>
    <w:rsid w:val="001E4A18"/>
    <w:rsid w:val="001F32B3"/>
    <w:rsid w:val="002108CB"/>
    <w:rsid w:val="00231AA3"/>
    <w:rsid w:val="00255CCB"/>
    <w:rsid w:val="00272650"/>
    <w:rsid w:val="00280653"/>
    <w:rsid w:val="002958EC"/>
    <w:rsid w:val="00295B94"/>
    <w:rsid w:val="002A30DC"/>
    <w:rsid w:val="002F4354"/>
    <w:rsid w:val="002F4D6D"/>
    <w:rsid w:val="002F642B"/>
    <w:rsid w:val="0031180F"/>
    <w:rsid w:val="00316ADC"/>
    <w:rsid w:val="003315CD"/>
    <w:rsid w:val="003375E5"/>
    <w:rsid w:val="003410F2"/>
    <w:rsid w:val="0034681C"/>
    <w:rsid w:val="00351F76"/>
    <w:rsid w:val="00356FDF"/>
    <w:rsid w:val="0036413E"/>
    <w:rsid w:val="003750C0"/>
    <w:rsid w:val="00386E10"/>
    <w:rsid w:val="003A2662"/>
    <w:rsid w:val="003C302D"/>
    <w:rsid w:val="003C79DC"/>
    <w:rsid w:val="003D4D44"/>
    <w:rsid w:val="003D63E3"/>
    <w:rsid w:val="003E029B"/>
    <w:rsid w:val="00440B39"/>
    <w:rsid w:val="0048684B"/>
    <w:rsid w:val="004A5D8D"/>
    <w:rsid w:val="004C3C5A"/>
    <w:rsid w:val="004C7648"/>
    <w:rsid w:val="004E2919"/>
    <w:rsid w:val="004E3757"/>
    <w:rsid w:val="00510290"/>
    <w:rsid w:val="00512E03"/>
    <w:rsid w:val="00527A18"/>
    <w:rsid w:val="00530D74"/>
    <w:rsid w:val="005459F3"/>
    <w:rsid w:val="0054618D"/>
    <w:rsid w:val="00546408"/>
    <w:rsid w:val="0057174C"/>
    <w:rsid w:val="0057389E"/>
    <w:rsid w:val="005A48AD"/>
    <w:rsid w:val="005A76B9"/>
    <w:rsid w:val="005C065D"/>
    <w:rsid w:val="005E6946"/>
    <w:rsid w:val="005F17D7"/>
    <w:rsid w:val="00601D9A"/>
    <w:rsid w:val="00612A86"/>
    <w:rsid w:val="00612B25"/>
    <w:rsid w:val="0061461F"/>
    <w:rsid w:val="0062492B"/>
    <w:rsid w:val="00627CB3"/>
    <w:rsid w:val="006368FA"/>
    <w:rsid w:val="006434BF"/>
    <w:rsid w:val="00657C0F"/>
    <w:rsid w:val="00682BB1"/>
    <w:rsid w:val="00692B52"/>
    <w:rsid w:val="006A22B4"/>
    <w:rsid w:val="006C031C"/>
    <w:rsid w:val="006D36E0"/>
    <w:rsid w:val="006E2C91"/>
    <w:rsid w:val="006F768A"/>
    <w:rsid w:val="00712BC7"/>
    <w:rsid w:val="00717F5C"/>
    <w:rsid w:val="007247C5"/>
    <w:rsid w:val="0076679B"/>
    <w:rsid w:val="007D360D"/>
    <w:rsid w:val="007E10CA"/>
    <w:rsid w:val="00810487"/>
    <w:rsid w:val="00813D16"/>
    <w:rsid w:val="008147A6"/>
    <w:rsid w:val="00814EF0"/>
    <w:rsid w:val="008260EA"/>
    <w:rsid w:val="008447B8"/>
    <w:rsid w:val="0084545B"/>
    <w:rsid w:val="0085560F"/>
    <w:rsid w:val="0087120A"/>
    <w:rsid w:val="00875FCB"/>
    <w:rsid w:val="008864B8"/>
    <w:rsid w:val="008B6ABC"/>
    <w:rsid w:val="008B6B2F"/>
    <w:rsid w:val="008E1658"/>
    <w:rsid w:val="008E61FC"/>
    <w:rsid w:val="009125BD"/>
    <w:rsid w:val="009322D0"/>
    <w:rsid w:val="009437BC"/>
    <w:rsid w:val="0096368F"/>
    <w:rsid w:val="009777B1"/>
    <w:rsid w:val="00984578"/>
    <w:rsid w:val="00984FAC"/>
    <w:rsid w:val="00991558"/>
    <w:rsid w:val="009B71B4"/>
    <w:rsid w:val="009B71BE"/>
    <w:rsid w:val="009C7571"/>
    <w:rsid w:val="009D1FF0"/>
    <w:rsid w:val="009D7FA8"/>
    <w:rsid w:val="009E19DF"/>
    <w:rsid w:val="00A10562"/>
    <w:rsid w:val="00A41AD8"/>
    <w:rsid w:val="00A42870"/>
    <w:rsid w:val="00A431ED"/>
    <w:rsid w:val="00A43B1C"/>
    <w:rsid w:val="00A45E63"/>
    <w:rsid w:val="00A46ACC"/>
    <w:rsid w:val="00A476A6"/>
    <w:rsid w:val="00A545EF"/>
    <w:rsid w:val="00A76228"/>
    <w:rsid w:val="00AA3CAC"/>
    <w:rsid w:val="00AB4FA7"/>
    <w:rsid w:val="00AC6182"/>
    <w:rsid w:val="00AD2376"/>
    <w:rsid w:val="00AD5BF1"/>
    <w:rsid w:val="00AE4985"/>
    <w:rsid w:val="00B0109B"/>
    <w:rsid w:val="00B047D5"/>
    <w:rsid w:val="00B055D1"/>
    <w:rsid w:val="00B44AB7"/>
    <w:rsid w:val="00BB2853"/>
    <w:rsid w:val="00BF31B1"/>
    <w:rsid w:val="00BF53F0"/>
    <w:rsid w:val="00C04D9E"/>
    <w:rsid w:val="00C16748"/>
    <w:rsid w:val="00C17961"/>
    <w:rsid w:val="00C34827"/>
    <w:rsid w:val="00C36577"/>
    <w:rsid w:val="00C51101"/>
    <w:rsid w:val="00C640C6"/>
    <w:rsid w:val="00CA126E"/>
    <w:rsid w:val="00CE0E51"/>
    <w:rsid w:val="00CE5049"/>
    <w:rsid w:val="00CF45E9"/>
    <w:rsid w:val="00D01304"/>
    <w:rsid w:val="00D358F6"/>
    <w:rsid w:val="00D616AB"/>
    <w:rsid w:val="00D651D0"/>
    <w:rsid w:val="00DA1A36"/>
    <w:rsid w:val="00DA247B"/>
    <w:rsid w:val="00DA3A84"/>
    <w:rsid w:val="00DB7836"/>
    <w:rsid w:val="00DC2C41"/>
    <w:rsid w:val="00DD7B73"/>
    <w:rsid w:val="00DE2E3E"/>
    <w:rsid w:val="00DE7DFC"/>
    <w:rsid w:val="00E0103B"/>
    <w:rsid w:val="00E02587"/>
    <w:rsid w:val="00E0259B"/>
    <w:rsid w:val="00E174F9"/>
    <w:rsid w:val="00E315D9"/>
    <w:rsid w:val="00E34FA1"/>
    <w:rsid w:val="00E55EAC"/>
    <w:rsid w:val="00E63C3E"/>
    <w:rsid w:val="00E75A5B"/>
    <w:rsid w:val="00E81CC3"/>
    <w:rsid w:val="00EA2FF1"/>
    <w:rsid w:val="00EB1D81"/>
    <w:rsid w:val="00EC1E33"/>
    <w:rsid w:val="00ED0056"/>
    <w:rsid w:val="00EE3E46"/>
    <w:rsid w:val="00F11806"/>
    <w:rsid w:val="00F22795"/>
    <w:rsid w:val="00F24A49"/>
    <w:rsid w:val="00F43AF4"/>
    <w:rsid w:val="00F707BE"/>
    <w:rsid w:val="00F837E7"/>
    <w:rsid w:val="00FA6A99"/>
    <w:rsid w:val="00FB5518"/>
    <w:rsid w:val="00FC799D"/>
    <w:rsid w:val="00FD06AA"/>
    <w:rsid w:val="00FE7879"/>
    <w:rsid w:val="00FF4AE5"/>
    <w:rsid w:val="1F0EFFFC"/>
    <w:rsid w:val="51EF6D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4CDED"/>
  <w15:chartTrackingRefBased/>
  <w15:docId w15:val="{5BDF26E2-C92F-4F26-8F34-FEC42712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2A86"/>
    <w:pPr>
      <w:spacing w:after="20" w:line="240" w:lineRule="auto"/>
    </w:pPr>
  </w:style>
  <w:style w:type="paragraph" w:styleId="Titolo1">
    <w:name w:val="heading 1"/>
    <w:basedOn w:val="Normale"/>
    <w:next w:val="Normale"/>
    <w:link w:val="Titolo1Carattere"/>
    <w:uiPriority w:val="9"/>
    <w:qFormat/>
    <w:rsid w:val="00D616AB"/>
    <w:pPr>
      <w:keepNext/>
      <w:keepLines/>
      <w:spacing w:before="240" w:after="0"/>
      <w:outlineLvl w:val="0"/>
    </w:pPr>
    <w:rPr>
      <w:rFonts w:eastAsiaTheme="majorEastAsia" w:cstheme="majorBidi"/>
      <w:color w:val="000000" w:themeColor="text1"/>
      <w:sz w:val="44"/>
      <w:szCs w:val="32"/>
    </w:rPr>
  </w:style>
  <w:style w:type="paragraph" w:styleId="Titolo2">
    <w:name w:val="heading 2"/>
    <w:basedOn w:val="Normale"/>
    <w:next w:val="Normale"/>
    <w:link w:val="Titolo2Carattere"/>
    <w:uiPriority w:val="9"/>
    <w:unhideWhenUsed/>
    <w:qFormat/>
    <w:rsid w:val="00D616AB"/>
    <w:pPr>
      <w:keepNext/>
      <w:keepLines/>
      <w:spacing w:before="40" w:after="0"/>
      <w:outlineLvl w:val="1"/>
    </w:pPr>
    <w:rPr>
      <w:rFonts w:eastAsiaTheme="majorEastAsia" w:cstheme="majorBidi"/>
      <w:b/>
      <w:color w:val="000000" w:themeColor="text1"/>
      <w:sz w:val="26"/>
      <w:szCs w:val="26"/>
      <w:u w:val="single"/>
    </w:rPr>
  </w:style>
  <w:style w:type="paragraph" w:styleId="Titolo3">
    <w:name w:val="heading 3"/>
    <w:basedOn w:val="Normale"/>
    <w:next w:val="Normale"/>
    <w:link w:val="Titolo3Carattere"/>
    <w:uiPriority w:val="9"/>
    <w:unhideWhenUsed/>
    <w:qFormat/>
    <w:rsid w:val="00D616AB"/>
    <w:pPr>
      <w:keepNext/>
      <w:keepLines/>
      <w:spacing w:before="40" w:after="0"/>
      <w:outlineLvl w:val="2"/>
    </w:pPr>
    <w:rPr>
      <w:rFonts w:eastAsiaTheme="majorEastAsia" w:cstheme="majorBidi"/>
      <w:sz w:val="24"/>
      <w:szCs w:val="24"/>
    </w:rPr>
  </w:style>
  <w:style w:type="paragraph" w:styleId="Titolo4">
    <w:name w:val="heading 4"/>
    <w:basedOn w:val="Normale"/>
    <w:next w:val="Normale"/>
    <w:link w:val="Titolo4Carattere"/>
    <w:uiPriority w:val="9"/>
    <w:semiHidden/>
    <w:unhideWhenUsed/>
    <w:qFormat/>
    <w:rsid w:val="00CE50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E504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CE50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E5049"/>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E5049"/>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E5049"/>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D616AB"/>
    <w:pPr>
      <w:contextualSpacing/>
    </w:pPr>
    <w:rPr>
      <w:rFonts w:eastAsiaTheme="majorEastAsia" w:cstheme="majorBidi"/>
      <w:spacing w:val="-10"/>
      <w:kern w:val="28"/>
      <w:sz w:val="56"/>
      <w:szCs w:val="56"/>
    </w:rPr>
  </w:style>
  <w:style w:type="character" w:customStyle="1" w:styleId="TitoloCarattere">
    <w:name w:val="Titolo Carattere"/>
    <w:basedOn w:val="Carpredefinitoparagrafo"/>
    <w:link w:val="Titolo"/>
    <w:uiPriority w:val="10"/>
    <w:rsid w:val="00D616AB"/>
    <w:rPr>
      <w:rFonts w:eastAsiaTheme="majorEastAsia" w:cstheme="majorBidi"/>
      <w:spacing w:val="-10"/>
      <w:kern w:val="28"/>
      <w:sz w:val="56"/>
      <w:szCs w:val="56"/>
    </w:rPr>
  </w:style>
  <w:style w:type="character" w:customStyle="1" w:styleId="Titolo1Carattere">
    <w:name w:val="Titolo 1 Carattere"/>
    <w:basedOn w:val="Carpredefinitoparagrafo"/>
    <w:link w:val="Titolo1"/>
    <w:uiPriority w:val="9"/>
    <w:rsid w:val="00D616AB"/>
    <w:rPr>
      <w:rFonts w:eastAsiaTheme="majorEastAsia" w:cstheme="majorBidi"/>
      <w:color w:val="000000" w:themeColor="text1"/>
      <w:sz w:val="44"/>
      <w:szCs w:val="32"/>
    </w:rPr>
  </w:style>
  <w:style w:type="character" w:customStyle="1" w:styleId="Titolo2Carattere">
    <w:name w:val="Titolo 2 Carattere"/>
    <w:basedOn w:val="Carpredefinitoparagrafo"/>
    <w:link w:val="Titolo2"/>
    <w:uiPriority w:val="9"/>
    <w:rsid w:val="00D616AB"/>
    <w:rPr>
      <w:rFonts w:eastAsiaTheme="majorEastAsia" w:cstheme="majorBidi"/>
      <w:b/>
      <w:color w:val="000000" w:themeColor="text1"/>
      <w:sz w:val="26"/>
      <w:szCs w:val="26"/>
      <w:u w:val="single"/>
    </w:rPr>
  </w:style>
  <w:style w:type="character" w:customStyle="1" w:styleId="Titolo3Carattere">
    <w:name w:val="Titolo 3 Carattere"/>
    <w:basedOn w:val="Carpredefinitoparagrafo"/>
    <w:link w:val="Titolo3"/>
    <w:uiPriority w:val="9"/>
    <w:rsid w:val="00D616AB"/>
    <w:rPr>
      <w:rFonts w:eastAsiaTheme="majorEastAsia" w:cstheme="majorBidi"/>
      <w:sz w:val="24"/>
      <w:szCs w:val="24"/>
    </w:rPr>
  </w:style>
  <w:style w:type="character" w:customStyle="1" w:styleId="Titolo4Carattere">
    <w:name w:val="Titolo 4 Carattere"/>
    <w:basedOn w:val="Carpredefinitoparagrafo"/>
    <w:link w:val="Titolo4"/>
    <w:uiPriority w:val="9"/>
    <w:semiHidden/>
    <w:rsid w:val="00CE5049"/>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CE5049"/>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CE5049"/>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CE5049"/>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CE5049"/>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CE5049"/>
    <w:rPr>
      <w:rFonts w:asciiTheme="minorHAnsi" w:eastAsiaTheme="majorEastAsia" w:hAnsiTheme="minorHAnsi" w:cstheme="majorBidi"/>
      <w:color w:val="272727" w:themeColor="text1" w:themeTint="D8"/>
    </w:rPr>
  </w:style>
  <w:style w:type="paragraph" w:styleId="Sottotitolo">
    <w:name w:val="Subtitle"/>
    <w:basedOn w:val="Normale"/>
    <w:next w:val="Normale"/>
    <w:link w:val="SottotitoloCarattere"/>
    <w:uiPriority w:val="11"/>
    <w:qFormat/>
    <w:rsid w:val="00CE50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E5049"/>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E504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E5049"/>
    <w:rPr>
      <w:i/>
      <w:iCs/>
      <w:color w:val="404040" w:themeColor="text1" w:themeTint="BF"/>
    </w:rPr>
  </w:style>
  <w:style w:type="paragraph" w:styleId="Paragrafoelenco">
    <w:name w:val="List Paragraph"/>
    <w:basedOn w:val="Normale"/>
    <w:uiPriority w:val="34"/>
    <w:qFormat/>
    <w:rsid w:val="00CE5049"/>
    <w:pPr>
      <w:ind w:left="720"/>
      <w:contextualSpacing/>
    </w:pPr>
  </w:style>
  <w:style w:type="character" w:styleId="Enfasiintensa">
    <w:name w:val="Intense Emphasis"/>
    <w:basedOn w:val="Carpredefinitoparagrafo"/>
    <w:uiPriority w:val="21"/>
    <w:qFormat/>
    <w:rsid w:val="00CE5049"/>
    <w:rPr>
      <w:i/>
      <w:iCs/>
      <w:color w:val="0F4761" w:themeColor="accent1" w:themeShade="BF"/>
    </w:rPr>
  </w:style>
  <w:style w:type="paragraph" w:styleId="Citazioneintensa">
    <w:name w:val="Intense Quote"/>
    <w:basedOn w:val="Normale"/>
    <w:next w:val="Normale"/>
    <w:link w:val="CitazioneintensaCarattere"/>
    <w:uiPriority w:val="30"/>
    <w:qFormat/>
    <w:rsid w:val="00CE5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E5049"/>
    <w:rPr>
      <w:i/>
      <w:iCs/>
      <w:color w:val="0F4761" w:themeColor="accent1" w:themeShade="BF"/>
    </w:rPr>
  </w:style>
  <w:style w:type="character" w:styleId="Riferimentointenso">
    <w:name w:val="Intense Reference"/>
    <w:basedOn w:val="Carpredefinitoparagrafo"/>
    <w:uiPriority w:val="32"/>
    <w:qFormat/>
    <w:rsid w:val="00CE5049"/>
    <w:rPr>
      <w:b/>
      <w:bCs/>
      <w:smallCaps/>
      <w:color w:val="0F4761" w:themeColor="accent1" w:themeShade="BF"/>
      <w:spacing w:val="5"/>
    </w:rPr>
  </w:style>
  <w:style w:type="paragraph" w:styleId="Intestazione">
    <w:name w:val="header"/>
    <w:basedOn w:val="Normale"/>
    <w:link w:val="IntestazioneCarattere"/>
    <w:uiPriority w:val="99"/>
    <w:unhideWhenUsed/>
    <w:rsid w:val="00CE5049"/>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E5049"/>
  </w:style>
  <w:style w:type="paragraph" w:styleId="Pidipagina">
    <w:name w:val="footer"/>
    <w:basedOn w:val="Normale"/>
    <w:link w:val="PidipaginaCarattere"/>
    <w:uiPriority w:val="99"/>
    <w:unhideWhenUsed/>
    <w:rsid w:val="00CE5049"/>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E5049"/>
  </w:style>
  <w:style w:type="table" w:styleId="Grigliatabella">
    <w:name w:val="Table Grid"/>
    <w:basedOn w:val="Tabellanormale"/>
    <w:uiPriority w:val="39"/>
    <w:rsid w:val="00087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047D5"/>
    <w:pPr>
      <w:spacing w:after="0" w:line="240" w:lineRule="auto"/>
    </w:pPr>
  </w:style>
  <w:style w:type="character" w:styleId="Rimandocommento">
    <w:name w:val="annotation reference"/>
    <w:basedOn w:val="Carpredefinitoparagrafo"/>
    <w:uiPriority w:val="99"/>
    <w:semiHidden/>
    <w:unhideWhenUsed/>
    <w:rsid w:val="003A2662"/>
    <w:rPr>
      <w:sz w:val="16"/>
      <w:szCs w:val="16"/>
    </w:rPr>
  </w:style>
  <w:style w:type="paragraph" w:styleId="Testocommento">
    <w:name w:val="annotation text"/>
    <w:basedOn w:val="Normale"/>
    <w:link w:val="TestocommentoCarattere"/>
    <w:uiPriority w:val="99"/>
    <w:unhideWhenUsed/>
    <w:rsid w:val="003A2662"/>
    <w:rPr>
      <w:sz w:val="20"/>
      <w:szCs w:val="20"/>
    </w:rPr>
  </w:style>
  <w:style w:type="character" w:customStyle="1" w:styleId="TestocommentoCarattere">
    <w:name w:val="Testo commento Carattere"/>
    <w:basedOn w:val="Carpredefinitoparagrafo"/>
    <w:link w:val="Testocommento"/>
    <w:uiPriority w:val="99"/>
    <w:rsid w:val="003A2662"/>
    <w:rPr>
      <w:sz w:val="20"/>
      <w:szCs w:val="20"/>
    </w:rPr>
  </w:style>
  <w:style w:type="paragraph" w:styleId="Soggettocommento">
    <w:name w:val="annotation subject"/>
    <w:basedOn w:val="Testocommento"/>
    <w:next w:val="Testocommento"/>
    <w:link w:val="SoggettocommentoCarattere"/>
    <w:uiPriority w:val="99"/>
    <w:semiHidden/>
    <w:unhideWhenUsed/>
    <w:rsid w:val="003A2662"/>
    <w:rPr>
      <w:b/>
      <w:bCs/>
    </w:rPr>
  </w:style>
  <w:style w:type="character" w:customStyle="1" w:styleId="SoggettocommentoCarattere">
    <w:name w:val="Soggetto commento Carattere"/>
    <w:basedOn w:val="TestocommentoCarattere"/>
    <w:link w:val="Soggettocommento"/>
    <w:uiPriority w:val="99"/>
    <w:semiHidden/>
    <w:rsid w:val="003A2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804563">
      <w:bodyDiv w:val="1"/>
      <w:marLeft w:val="0"/>
      <w:marRight w:val="0"/>
      <w:marTop w:val="0"/>
      <w:marBottom w:val="0"/>
      <w:divBdr>
        <w:top w:val="none" w:sz="0" w:space="0" w:color="auto"/>
        <w:left w:val="none" w:sz="0" w:space="0" w:color="auto"/>
        <w:bottom w:val="none" w:sz="0" w:space="0" w:color="auto"/>
        <w:right w:val="none" w:sz="0" w:space="0" w:color="auto"/>
      </w:divBdr>
    </w:div>
    <w:div w:id="1741708962">
      <w:bodyDiv w:val="1"/>
      <w:marLeft w:val="0"/>
      <w:marRight w:val="0"/>
      <w:marTop w:val="0"/>
      <w:marBottom w:val="0"/>
      <w:divBdr>
        <w:top w:val="none" w:sz="0" w:space="0" w:color="auto"/>
        <w:left w:val="none" w:sz="0" w:space="0" w:color="auto"/>
        <w:bottom w:val="none" w:sz="0" w:space="0" w:color="auto"/>
        <w:right w:val="none" w:sz="0" w:space="0" w:color="auto"/>
      </w:divBdr>
    </w:div>
    <w:div w:id="2068646023">
      <w:bodyDiv w:val="1"/>
      <w:marLeft w:val="0"/>
      <w:marRight w:val="0"/>
      <w:marTop w:val="0"/>
      <w:marBottom w:val="0"/>
      <w:divBdr>
        <w:top w:val="none" w:sz="0" w:space="0" w:color="auto"/>
        <w:left w:val="none" w:sz="0" w:space="0" w:color="auto"/>
        <w:bottom w:val="none" w:sz="0" w:space="0" w:color="auto"/>
        <w:right w:val="none" w:sz="0" w:space="0" w:color="auto"/>
      </w:divBdr>
    </w:div>
    <w:div w:id="21423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CCCCF-28A0-4E58-A376-40266383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6410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Bottazzin</dc:creator>
  <cp:keywords/>
  <dc:description/>
  <cp:lastModifiedBy>Maria Rita Cerilli</cp:lastModifiedBy>
  <cp:revision>4</cp:revision>
  <cp:lastPrinted>2025-10-06T09:55:00Z</cp:lastPrinted>
  <dcterms:created xsi:type="dcterms:W3CDTF">2025-10-06T11:27:00Z</dcterms:created>
  <dcterms:modified xsi:type="dcterms:W3CDTF">2025-10-06T14:27:00Z</dcterms:modified>
</cp:coreProperties>
</file>