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5AAC" w14:textId="368C8FD4" w:rsidR="00990FD2" w:rsidRPr="00990FD2" w:rsidRDefault="00990FD2" w:rsidP="00D82EA1">
      <w:pPr>
        <w:ind w:left="709"/>
        <w:rPr>
          <w:rFonts w:ascii="Daytona" w:hAnsi="Daytona"/>
          <w:b/>
          <w:bCs/>
          <w:sz w:val="40"/>
          <w:szCs w:val="40"/>
        </w:rPr>
      </w:pPr>
      <w:r w:rsidRPr="00990FD2">
        <w:rPr>
          <w:rFonts w:ascii="Daytona" w:hAnsi="Daytona"/>
          <w:b/>
          <w:bCs/>
          <w:sz w:val="40"/>
          <w:szCs w:val="40"/>
        </w:rPr>
        <w:t>Da Picasso a Van Gogh</w:t>
      </w:r>
    </w:p>
    <w:p w14:paraId="5A8AFC7D" w14:textId="1580FD0B" w:rsidR="00990FD2" w:rsidRDefault="00990FD2" w:rsidP="00D82EA1">
      <w:pPr>
        <w:ind w:left="709"/>
        <w:rPr>
          <w:rFonts w:ascii="Daytona" w:hAnsi="Daytona"/>
          <w:b/>
          <w:bCs/>
          <w:i/>
          <w:iCs/>
          <w:sz w:val="28"/>
          <w:szCs w:val="28"/>
        </w:rPr>
      </w:pPr>
      <w:r w:rsidRPr="00990FD2">
        <w:rPr>
          <w:rFonts w:ascii="Daytona" w:hAnsi="Daytona"/>
          <w:b/>
          <w:bCs/>
          <w:i/>
          <w:iCs/>
          <w:sz w:val="28"/>
          <w:szCs w:val="28"/>
        </w:rPr>
        <w:t>Storie di pittura dall’astrazione all’impressionismo</w:t>
      </w:r>
    </w:p>
    <w:p w14:paraId="641B2758" w14:textId="77777777" w:rsidR="00A361BE" w:rsidRPr="00A361BE" w:rsidRDefault="00A361BE" w:rsidP="00D82EA1">
      <w:pPr>
        <w:ind w:left="709"/>
        <w:rPr>
          <w:rFonts w:ascii="Daytona" w:hAnsi="Daytona"/>
          <w:b/>
          <w:bCs/>
          <w:sz w:val="28"/>
          <w:szCs w:val="28"/>
        </w:rPr>
      </w:pPr>
      <w:r w:rsidRPr="00A361BE">
        <w:rPr>
          <w:rFonts w:ascii="Daytona" w:hAnsi="Daytona"/>
          <w:b/>
          <w:bCs/>
          <w:sz w:val="28"/>
          <w:szCs w:val="28"/>
        </w:rPr>
        <w:t>Capolavori dal Toledo Museum of Art</w:t>
      </w:r>
    </w:p>
    <w:p w14:paraId="70CCBC27" w14:textId="77777777" w:rsidR="00E95498" w:rsidRDefault="00E95498" w:rsidP="00D82EA1">
      <w:pPr>
        <w:ind w:left="709"/>
        <w:rPr>
          <w:rFonts w:ascii="Daytona" w:hAnsi="Daytona"/>
          <w:b/>
          <w:bCs/>
        </w:rPr>
      </w:pPr>
    </w:p>
    <w:p w14:paraId="1860F3F3" w14:textId="0971E0E1" w:rsidR="00990FD2" w:rsidRPr="00990FD2" w:rsidRDefault="00990FD2" w:rsidP="00D82EA1">
      <w:pPr>
        <w:ind w:left="709"/>
        <w:rPr>
          <w:rFonts w:ascii="Daytona" w:hAnsi="Daytona"/>
          <w:b/>
          <w:bCs/>
        </w:rPr>
      </w:pPr>
      <w:r w:rsidRPr="00990FD2">
        <w:rPr>
          <w:rFonts w:ascii="Daytona" w:hAnsi="Daytona"/>
          <w:b/>
          <w:bCs/>
        </w:rPr>
        <w:t>Treviso, Museo Santa Caterina</w:t>
      </w:r>
    </w:p>
    <w:p w14:paraId="2E4CAAE9" w14:textId="6324D924" w:rsidR="00990FD2" w:rsidRPr="00990FD2" w:rsidRDefault="00990FD2" w:rsidP="00D82EA1">
      <w:pPr>
        <w:ind w:left="709"/>
        <w:rPr>
          <w:rFonts w:ascii="Daytona" w:hAnsi="Daytona"/>
          <w:b/>
          <w:bCs/>
        </w:rPr>
      </w:pPr>
      <w:r w:rsidRPr="00990FD2">
        <w:rPr>
          <w:rFonts w:ascii="Daytona" w:hAnsi="Daytona"/>
          <w:b/>
          <w:bCs/>
        </w:rPr>
        <w:t>15 novembre 2025 - 10 maggio 202</w:t>
      </w:r>
      <w:r w:rsidR="00A95FD9">
        <w:rPr>
          <w:rFonts w:ascii="Daytona" w:hAnsi="Daytona"/>
          <w:b/>
          <w:bCs/>
        </w:rPr>
        <w:t>6</w:t>
      </w:r>
    </w:p>
    <w:p w14:paraId="0CC38AAD" w14:textId="77777777" w:rsidR="00990FD2" w:rsidRPr="00990FD2" w:rsidRDefault="00990FD2" w:rsidP="00D82EA1">
      <w:pPr>
        <w:ind w:left="709"/>
        <w:rPr>
          <w:rFonts w:ascii="Daytona" w:hAnsi="Daytona"/>
          <w:b/>
          <w:bCs/>
        </w:rPr>
      </w:pPr>
    </w:p>
    <w:p w14:paraId="1DAE5BED" w14:textId="55EE6EA7" w:rsidR="00A95FD9" w:rsidRDefault="00990FD2" w:rsidP="00D82EA1">
      <w:pPr>
        <w:tabs>
          <w:tab w:val="left" w:pos="709"/>
        </w:tabs>
        <w:ind w:left="709"/>
        <w:rPr>
          <w:rFonts w:ascii="Daytona" w:hAnsi="Daytona"/>
          <w:b/>
          <w:bCs/>
        </w:rPr>
      </w:pPr>
      <w:r w:rsidRPr="00990FD2">
        <w:rPr>
          <w:rFonts w:ascii="Daytona" w:hAnsi="Daytona"/>
          <w:b/>
          <w:bCs/>
        </w:rPr>
        <w:t>Mostra promossa dal Comune di Treviso</w:t>
      </w:r>
      <w:r w:rsidR="00A361BE">
        <w:rPr>
          <w:rFonts w:ascii="Daytona" w:hAnsi="Daytona"/>
          <w:b/>
          <w:bCs/>
        </w:rPr>
        <w:t xml:space="preserve"> e da Linea d’ombra</w:t>
      </w:r>
      <w:r w:rsidRPr="00990FD2">
        <w:rPr>
          <w:rFonts w:ascii="Daytona" w:hAnsi="Daytona"/>
          <w:b/>
          <w:bCs/>
        </w:rPr>
        <w:t xml:space="preserve"> </w:t>
      </w:r>
    </w:p>
    <w:p w14:paraId="584B8CB1" w14:textId="148892C8" w:rsidR="00A95FD9" w:rsidRDefault="00A95FD9" w:rsidP="00D82EA1">
      <w:pPr>
        <w:tabs>
          <w:tab w:val="left" w:pos="709"/>
        </w:tabs>
        <w:ind w:left="709"/>
        <w:rPr>
          <w:rFonts w:ascii="Daytona" w:hAnsi="Daytona"/>
          <w:b/>
          <w:bCs/>
        </w:rPr>
      </w:pPr>
      <w:r>
        <w:rPr>
          <w:rFonts w:ascii="Daytona" w:hAnsi="Daytona"/>
          <w:b/>
          <w:bCs/>
        </w:rPr>
        <w:t>O</w:t>
      </w:r>
      <w:r w:rsidR="00990FD2" w:rsidRPr="00990FD2">
        <w:rPr>
          <w:rFonts w:ascii="Daytona" w:hAnsi="Daytona"/>
          <w:b/>
          <w:bCs/>
        </w:rPr>
        <w:t>rganizzata da</w:t>
      </w:r>
      <w:r w:rsidR="00A361BE">
        <w:rPr>
          <w:rFonts w:ascii="Daytona" w:hAnsi="Daytona"/>
          <w:b/>
          <w:bCs/>
        </w:rPr>
        <w:t xml:space="preserve"> </w:t>
      </w:r>
      <w:r w:rsidR="00990FD2" w:rsidRPr="00990FD2">
        <w:rPr>
          <w:rFonts w:ascii="Daytona" w:hAnsi="Daytona"/>
          <w:b/>
          <w:bCs/>
        </w:rPr>
        <w:t>Linea d’ombra</w:t>
      </w:r>
      <w:r w:rsidR="00A361BE">
        <w:rPr>
          <w:rFonts w:ascii="Daytona" w:hAnsi="Daytona"/>
          <w:b/>
          <w:bCs/>
        </w:rPr>
        <w:t xml:space="preserve"> e Toledo Museum of Art</w:t>
      </w:r>
    </w:p>
    <w:p w14:paraId="320A91E9" w14:textId="77777777" w:rsidR="00A361BE" w:rsidRDefault="00A361BE" w:rsidP="00D82EA1">
      <w:pPr>
        <w:tabs>
          <w:tab w:val="left" w:pos="709"/>
        </w:tabs>
        <w:ind w:left="709"/>
        <w:rPr>
          <w:rFonts w:ascii="Daytona" w:hAnsi="Daytona"/>
          <w:b/>
          <w:bCs/>
        </w:rPr>
      </w:pPr>
    </w:p>
    <w:p w14:paraId="0A849043" w14:textId="5673C2F2" w:rsidR="00990FD2" w:rsidRPr="00990FD2" w:rsidRDefault="00990FD2" w:rsidP="00D82EA1">
      <w:pPr>
        <w:tabs>
          <w:tab w:val="left" w:pos="709"/>
        </w:tabs>
        <w:ind w:left="709"/>
        <w:rPr>
          <w:rFonts w:ascii="Daytona" w:hAnsi="Daytona"/>
          <w:b/>
          <w:bCs/>
        </w:rPr>
      </w:pPr>
      <w:r w:rsidRPr="00990FD2">
        <w:rPr>
          <w:rFonts w:ascii="Daytona" w:hAnsi="Daytona"/>
          <w:b/>
          <w:bCs/>
        </w:rPr>
        <w:t>A cura di Marco Goldin</w:t>
      </w:r>
    </w:p>
    <w:p w14:paraId="0417A2E9" w14:textId="77777777" w:rsidR="00990FD2" w:rsidRPr="00990FD2" w:rsidRDefault="00990FD2" w:rsidP="00D82EA1">
      <w:pPr>
        <w:tabs>
          <w:tab w:val="left" w:pos="709"/>
        </w:tabs>
        <w:ind w:left="709"/>
        <w:rPr>
          <w:rFonts w:ascii="Daytona" w:hAnsi="Daytona"/>
        </w:rPr>
      </w:pPr>
    </w:p>
    <w:p w14:paraId="00717320" w14:textId="77777777" w:rsidR="00990FD2" w:rsidRPr="00D82EA1" w:rsidRDefault="00990FD2" w:rsidP="00D82EA1">
      <w:pPr>
        <w:tabs>
          <w:tab w:val="left" w:pos="709"/>
        </w:tabs>
        <w:ind w:left="709"/>
        <w:jc w:val="center"/>
        <w:rPr>
          <w:b/>
          <w:bCs/>
          <w:sz w:val="36"/>
          <w:szCs w:val="36"/>
          <w:u w:val="single"/>
        </w:rPr>
      </w:pPr>
    </w:p>
    <w:p w14:paraId="1C04F3D0" w14:textId="2149B4E6" w:rsidR="00D82EA1" w:rsidRDefault="00D82EA1" w:rsidP="00D82EA1">
      <w:pPr>
        <w:tabs>
          <w:tab w:val="left" w:pos="709"/>
        </w:tabs>
        <w:ind w:left="709"/>
        <w:jc w:val="center"/>
        <w:rPr>
          <w:b/>
          <w:bCs/>
          <w:sz w:val="36"/>
          <w:szCs w:val="36"/>
        </w:rPr>
      </w:pPr>
      <w:r w:rsidRPr="00D82EA1">
        <w:rPr>
          <w:b/>
          <w:bCs/>
          <w:sz w:val="36"/>
          <w:szCs w:val="36"/>
        </w:rPr>
        <w:t>I partner dell’esposizione</w:t>
      </w:r>
    </w:p>
    <w:p w14:paraId="581ACC20" w14:textId="77777777" w:rsidR="00D82EA1" w:rsidRPr="00D82EA1" w:rsidRDefault="00D82EA1" w:rsidP="00D82EA1">
      <w:pPr>
        <w:tabs>
          <w:tab w:val="left" w:pos="709"/>
        </w:tabs>
        <w:ind w:left="709"/>
        <w:jc w:val="center"/>
        <w:rPr>
          <w:b/>
          <w:bCs/>
          <w:sz w:val="36"/>
          <w:szCs w:val="36"/>
        </w:rPr>
      </w:pPr>
    </w:p>
    <w:p w14:paraId="02AB6947" w14:textId="77777777" w:rsidR="002A68B3" w:rsidRDefault="002A68B3" w:rsidP="00D82EA1">
      <w:pPr>
        <w:tabs>
          <w:tab w:val="left" w:pos="709"/>
        </w:tabs>
        <w:ind w:left="709"/>
      </w:pPr>
    </w:p>
    <w:p w14:paraId="396B0504" w14:textId="77777777" w:rsidR="00D82EA1" w:rsidRPr="0000088F" w:rsidRDefault="00D82EA1" w:rsidP="00D82EA1">
      <w:pPr>
        <w:ind w:left="709"/>
        <w:jc w:val="both"/>
        <w:rPr>
          <w:b/>
        </w:rPr>
      </w:pPr>
      <w:r w:rsidRPr="0000088F">
        <w:rPr>
          <w:b/>
        </w:rPr>
        <w:t xml:space="preserve">Mario Pozza (Presidente della Camera di commercio di Treviso – </w:t>
      </w:r>
      <w:proofErr w:type="spellStart"/>
      <w:r w:rsidRPr="0000088F">
        <w:rPr>
          <w:b/>
        </w:rPr>
        <w:t>Belluno|Dolomiti</w:t>
      </w:r>
      <w:proofErr w:type="spellEnd"/>
      <w:r w:rsidRPr="0000088F">
        <w:rPr>
          <w:b/>
        </w:rPr>
        <w:t>)</w:t>
      </w:r>
    </w:p>
    <w:p w14:paraId="59AC4CAF" w14:textId="77777777" w:rsidR="00D82EA1" w:rsidRDefault="00D82EA1" w:rsidP="00D82EA1">
      <w:pPr>
        <w:ind w:left="709"/>
        <w:jc w:val="both"/>
      </w:pPr>
      <w:r>
        <w:t>«L'inaugurazione della mostra “Da Picasso a Van Gogh. Capolavori dal Toledo Museum of Art” è un momento di grande importanza per la nostra comunità e per il mondo dell'arte. Esprimo, dunque, viva soddisfazione per il raggiungimento di questo risultato, frutto di una proficua sinergia che vede da anni l'ente camerale e il Comune di Treviso lavorare fianco a fianco in significative azioni di promozione e valorizzazione del turismo e del patrimonio culturale, azioni che hanno portato la città di Treviso a essere considerata a livello nazionale, ma non solo, una meta culturale di elevata qualità, attrattiva e accogliente, contribuendo così ad attivare un virtuoso percorso di crescita che coinvolge l’intero territorio».</w:t>
      </w:r>
    </w:p>
    <w:p w14:paraId="71E1F838" w14:textId="77777777" w:rsidR="00D82EA1" w:rsidRDefault="00D82EA1" w:rsidP="00D82EA1">
      <w:pPr>
        <w:ind w:left="709"/>
        <w:jc w:val="both"/>
      </w:pPr>
    </w:p>
    <w:p w14:paraId="4206B46F" w14:textId="77777777" w:rsidR="00D82EA1" w:rsidRPr="0000088F" w:rsidRDefault="00D82EA1" w:rsidP="00D82EA1">
      <w:pPr>
        <w:ind w:left="709"/>
        <w:jc w:val="both"/>
        <w:rPr>
          <w:b/>
        </w:rPr>
      </w:pPr>
      <w:r w:rsidRPr="0000088F">
        <w:rPr>
          <w:b/>
        </w:rPr>
        <w:t>Federico Capraro (Presidente Ascom Confcommercio Treviso)</w:t>
      </w:r>
    </w:p>
    <w:p w14:paraId="1644DE85" w14:textId="77777777" w:rsidR="00D82EA1" w:rsidRDefault="00D82EA1" w:rsidP="00D82EA1">
      <w:pPr>
        <w:ind w:left="709"/>
        <w:jc w:val="both"/>
      </w:pPr>
      <w:r>
        <w:t xml:space="preserve">«Le nostre imprese hanno risposto con entusiasmo a questa grande occasione culturale. Con le sagome dei capolavori esposte nelle vetrine e nelle strade del centro, ci impegniamo a portare l’arte fuori dal museo e dentro la città, rendendola parte del quotidiano. È il modo più autentico con cui Treviso può accogliere la mostra e farla propria. Confcommercio Treviso ha voluto creare una rete di collaborazione concreta tra cultura e impresa: sul nostro sito è attiva una pagina dedicata con tutte le opportunità riservate ai visitatori che presentano il biglietto della mostra. È un segnale di apertura e di fiducia, perché crediamo che la cultura sia un motore economico e sociale per tutto il territorio. Questa iniziativa dimostra </w:t>
      </w:r>
      <w:proofErr w:type="gramStart"/>
      <w:r>
        <w:t>che</w:t>
      </w:r>
      <w:proofErr w:type="gramEnd"/>
      <w:r>
        <w:t xml:space="preserve"> quando la città si muove insieme — istituzioni, operatori, commercianti, ristoratori — il risultato è straordinario. Treviso sa accogliere e sa valorizzare, e ancora una volta si conferma una città capace di unire arte, impresa e comunità. L'internazionalità dell'evento attira sì turisti che scelgono però la destinazione per restarci più di un paio d'ore, andando oltre la mera fruizione mordi-e-fuggi e cercando, anzi, esperienze di diverso tipo, dall'enogastronomia all'outdoor: è proprio questo il segmento di mercato ideale per la nostra destinazione, che con la sua ricchezza di offerta specifica e diversificata può coccolare il turista per più giorni, portandolo a visitare vari luoghi».</w:t>
      </w:r>
    </w:p>
    <w:p w14:paraId="61774451" w14:textId="77777777" w:rsidR="00D82EA1" w:rsidRPr="0000088F" w:rsidRDefault="00D82EA1" w:rsidP="00D82EA1">
      <w:pPr>
        <w:ind w:left="709"/>
        <w:jc w:val="both"/>
      </w:pPr>
    </w:p>
    <w:p w14:paraId="6B193FC6" w14:textId="77777777" w:rsidR="00D82EA1" w:rsidRPr="0000088F" w:rsidRDefault="00D82EA1" w:rsidP="00D82EA1">
      <w:pPr>
        <w:ind w:left="709"/>
        <w:jc w:val="both"/>
        <w:rPr>
          <w:b/>
        </w:rPr>
      </w:pPr>
      <w:r w:rsidRPr="0000088F">
        <w:rPr>
          <w:b/>
        </w:rPr>
        <w:t>Giulia Casagrande (Presidente Fondazione</w:t>
      </w:r>
      <w:r>
        <w:rPr>
          <w:b/>
        </w:rPr>
        <w:t xml:space="preserve"> DMO</w:t>
      </w:r>
      <w:r w:rsidRPr="0000088F">
        <w:rPr>
          <w:b/>
        </w:rPr>
        <w:t xml:space="preserve"> Marca Treviso)</w:t>
      </w:r>
    </w:p>
    <w:p w14:paraId="42B07642" w14:textId="77777777" w:rsidR="00D82EA1" w:rsidRDefault="00D82EA1" w:rsidP="00D82EA1">
      <w:pPr>
        <w:ind w:left="709"/>
        <w:jc w:val="both"/>
      </w:pPr>
      <w:r>
        <w:t>«</w:t>
      </w:r>
      <w:r w:rsidRPr="0000088F">
        <w:t>Siamo veramente orgogliosi di essere partner di questa prestigiosa mostra e ringrazio il sindaco Mario Conte</w:t>
      </w:r>
      <w:r>
        <w:t xml:space="preserve"> e</w:t>
      </w:r>
      <w:r w:rsidRPr="0000088F">
        <w:t xml:space="preserve"> l’amministrazione tutta del Comune di Treviso per essersi fatto promotore di questa unione di intenti e </w:t>
      </w:r>
      <w:proofErr w:type="gramStart"/>
      <w:r w:rsidRPr="0000088F">
        <w:t>Linea</w:t>
      </w:r>
      <w:proofErr w:type="gramEnd"/>
      <w:r w:rsidRPr="0000088F">
        <w:t xml:space="preserve"> D’ombra per l’organizzazione titanica: eventi di tale calibro sono altamente posizionanti per la destinazione, perché generano un indotto turistico che va ben oltre la singola visita all'esposizione</w:t>
      </w:r>
      <w:r>
        <w:t xml:space="preserve">. </w:t>
      </w:r>
      <w:r w:rsidRPr="0000088F">
        <w:t>L'internazionalità dell'evento attira sì turisti che scelgono però la destinazione per</w:t>
      </w:r>
      <w:r>
        <w:t xml:space="preserve"> restarci più di un paio d'ore, anzi, qui possono vivere esperienze di diverso </w:t>
      </w:r>
      <w:r w:rsidRPr="0000088F">
        <w:t>tipo, dall'enogastronomia all'outdoor: è proprio questo il segmento di mercato ideale per la nostra destinazione, che con la sua ricchezza di offerta specifica e diversificata, può coccolare il turista per più giorni, po</w:t>
      </w:r>
      <w:r>
        <w:t>rtandolo a visitare vari luoghi».</w:t>
      </w:r>
    </w:p>
    <w:p w14:paraId="7B518FB0" w14:textId="77777777" w:rsidR="00D82EA1" w:rsidRPr="0000088F" w:rsidRDefault="00D82EA1" w:rsidP="00D82EA1">
      <w:pPr>
        <w:ind w:left="709"/>
        <w:jc w:val="both"/>
      </w:pPr>
    </w:p>
    <w:p w14:paraId="06B5880A" w14:textId="77777777" w:rsidR="00D82EA1" w:rsidRPr="001306C7" w:rsidRDefault="00D82EA1" w:rsidP="00D82EA1">
      <w:pPr>
        <w:ind w:left="709"/>
        <w:jc w:val="both"/>
        <w:rPr>
          <w:b/>
        </w:rPr>
      </w:pPr>
      <w:proofErr w:type="spellStart"/>
      <w:r w:rsidRPr="0000088F">
        <w:rPr>
          <w:b/>
        </w:rPr>
        <w:t>CentroMarca</w:t>
      </w:r>
      <w:proofErr w:type="spellEnd"/>
      <w:r w:rsidRPr="0000088F">
        <w:rPr>
          <w:b/>
        </w:rPr>
        <w:t xml:space="preserve"> Banca </w:t>
      </w:r>
      <w:r>
        <w:rPr>
          <w:b/>
        </w:rPr>
        <w:t>– Tiziano Cenedese (Presidente)</w:t>
      </w:r>
    </w:p>
    <w:p w14:paraId="7D3094BC" w14:textId="77777777" w:rsidR="00D82EA1" w:rsidRDefault="00D82EA1" w:rsidP="00D82EA1">
      <w:pPr>
        <w:ind w:left="709"/>
        <w:jc w:val="both"/>
      </w:pPr>
      <w:r>
        <w:t xml:space="preserve">«Per </w:t>
      </w:r>
      <w:proofErr w:type="spellStart"/>
      <w:r>
        <w:t>CentroMarca</w:t>
      </w:r>
      <w:proofErr w:type="spellEnd"/>
      <w:r>
        <w:t xml:space="preserve"> Banca è un onore essere partner di un’iniziativa culturale di rilievo come la mostra ‘Da Picasso a Van Gogh’, che porta a Treviso capolavori di livello mondiale grazie alla collaborazione con il Toledo Museum of Art. Questa collaborazione rispecchia i nostri valori più profondi, che vedono nella cultura uno dei pilastri su cui si fonda la comunità, e conferma l’impegno di CMB nella promozione e valorizzazione del territorio. Sostenere la cultura significa per noi creare opportunità di incontro e di crescita, generando valore per le persone e per l’economia locale e contribuendo così allo sviluppo della Marca e del suo patrimonio sociale e artistico».</w:t>
      </w:r>
    </w:p>
    <w:p w14:paraId="095693C2" w14:textId="77777777" w:rsidR="00D82EA1" w:rsidRDefault="00D82EA1" w:rsidP="00D82EA1">
      <w:pPr>
        <w:ind w:left="709"/>
        <w:jc w:val="both"/>
      </w:pPr>
    </w:p>
    <w:p w14:paraId="4BC6FDD6" w14:textId="77777777" w:rsidR="00D82EA1" w:rsidRPr="0000088F" w:rsidRDefault="00D82EA1" w:rsidP="00D82EA1">
      <w:pPr>
        <w:ind w:left="709"/>
        <w:jc w:val="both"/>
        <w:rPr>
          <w:b/>
        </w:rPr>
      </w:pPr>
      <w:r w:rsidRPr="0000088F">
        <w:rPr>
          <w:b/>
        </w:rPr>
        <w:t>Giancarlo Guidolin (Presidente del Consorzio di Tutela del Prosecco DOC)</w:t>
      </w:r>
    </w:p>
    <w:p w14:paraId="2C04D93A" w14:textId="77777777" w:rsidR="00D82EA1" w:rsidRDefault="00D82EA1" w:rsidP="00D82EA1">
      <w:pPr>
        <w:ind w:left="709"/>
        <w:jc w:val="both"/>
      </w:pPr>
      <w:r>
        <w:t xml:space="preserve">«Il Consorzio di Tutela del Prosecco DOC è onorato di essere </w:t>
      </w:r>
      <w:proofErr w:type="spellStart"/>
      <w:r>
        <w:t>Main</w:t>
      </w:r>
      <w:proofErr w:type="spellEnd"/>
      <w:r>
        <w:t xml:space="preserve"> Partner e Official </w:t>
      </w:r>
      <w:proofErr w:type="spellStart"/>
      <w:r>
        <w:t>Sparkling</w:t>
      </w:r>
      <w:proofErr w:type="spellEnd"/>
      <w:r>
        <w:t xml:space="preserve"> Wine di una mostra di così alto profilo come “Da Picasso a Van Gogh”. Il nostro sostegno riflette l’impegno a promuovere un dialogo concreto tra cultura, territorio e produzione di qualità. Il Prosecco DOC si è affermato nel mondo come ambasciatore dell’eccellenza italiana anche grazie alla sua capacità di inserirsi in contesti culturali di rilievo, contribuendo a valorizzare quell’insieme di saperi, tradizioni e relazioni che costituiscono il patrimonio immateriale della nostra Denominazione: bellezza e cultura del territorio, saper fare, convivialità, e la capacità di rappresentare uno stile di vita autenticamente italiano».</w:t>
      </w:r>
    </w:p>
    <w:p w14:paraId="0DC03BAB" w14:textId="65949D10" w:rsidR="00AE76A7" w:rsidRDefault="00AE76A7" w:rsidP="00D82EA1">
      <w:pPr>
        <w:tabs>
          <w:tab w:val="left" w:pos="709"/>
        </w:tabs>
        <w:ind w:left="709"/>
      </w:pPr>
    </w:p>
    <w:sectPr w:rsidR="00AE76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1A67"/>
    <w:rsid w:val="000F2735"/>
    <w:rsid w:val="00174AD5"/>
    <w:rsid w:val="00180618"/>
    <w:rsid w:val="001F4609"/>
    <w:rsid w:val="00281513"/>
    <w:rsid w:val="002A68B3"/>
    <w:rsid w:val="002F5F85"/>
    <w:rsid w:val="00321759"/>
    <w:rsid w:val="003B5575"/>
    <w:rsid w:val="004B3346"/>
    <w:rsid w:val="005954BF"/>
    <w:rsid w:val="00602728"/>
    <w:rsid w:val="00603DDD"/>
    <w:rsid w:val="006334A8"/>
    <w:rsid w:val="00691BB5"/>
    <w:rsid w:val="007130B7"/>
    <w:rsid w:val="00771A67"/>
    <w:rsid w:val="00793DFC"/>
    <w:rsid w:val="00872E5A"/>
    <w:rsid w:val="00897CFA"/>
    <w:rsid w:val="008F74BD"/>
    <w:rsid w:val="00990FD2"/>
    <w:rsid w:val="009B047E"/>
    <w:rsid w:val="009D5611"/>
    <w:rsid w:val="00A12555"/>
    <w:rsid w:val="00A24D4B"/>
    <w:rsid w:val="00A361BE"/>
    <w:rsid w:val="00A82068"/>
    <w:rsid w:val="00A95FD9"/>
    <w:rsid w:val="00AE76A7"/>
    <w:rsid w:val="00B87E71"/>
    <w:rsid w:val="00C375A6"/>
    <w:rsid w:val="00CA2514"/>
    <w:rsid w:val="00CA7F99"/>
    <w:rsid w:val="00D13E6B"/>
    <w:rsid w:val="00D323AB"/>
    <w:rsid w:val="00D34AC6"/>
    <w:rsid w:val="00D82EA1"/>
    <w:rsid w:val="00D962B1"/>
    <w:rsid w:val="00DF4199"/>
    <w:rsid w:val="00E816E5"/>
    <w:rsid w:val="00E95498"/>
    <w:rsid w:val="00ED034E"/>
    <w:rsid w:val="00F44894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CD8E"/>
  <w15:chartTrackingRefBased/>
  <w15:docId w15:val="{326464E5-58DE-4327-BBB5-220EF67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1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A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A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1A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1A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1A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A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1A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A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1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A6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A6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1A6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1A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1A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A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1A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1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1A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1A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1A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1A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1A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1A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1A6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90F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0F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Campagnolo</dc:creator>
  <cp:keywords/>
  <dc:description/>
  <cp:lastModifiedBy>Simone - STUDIO ESSECI</cp:lastModifiedBy>
  <cp:revision>2</cp:revision>
  <cp:lastPrinted>2025-02-21T08:07:00Z</cp:lastPrinted>
  <dcterms:created xsi:type="dcterms:W3CDTF">2025-11-12T15:17:00Z</dcterms:created>
  <dcterms:modified xsi:type="dcterms:W3CDTF">2025-11-12T15:17:00Z</dcterms:modified>
</cp:coreProperties>
</file>