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63E42" w14:textId="77777777" w:rsidR="00746EBB" w:rsidRDefault="00746EBB" w:rsidP="00746EBB">
      <w:pPr>
        <w:ind w:left="567"/>
        <w:rPr>
          <w:rFonts w:ascii="Calibri" w:hAnsi="Calibri" w:cs="Calibri"/>
          <w:b/>
          <w:bCs/>
          <w:sz w:val="32"/>
          <w:szCs w:val="32"/>
        </w:rPr>
      </w:pPr>
    </w:p>
    <w:p w14:paraId="0B4F714D" w14:textId="4E728E2F" w:rsidR="00746EBB" w:rsidRDefault="00746EBB" w:rsidP="00746EBB">
      <w:pPr>
        <w:ind w:left="567"/>
        <w:rPr>
          <w:rFonts w:ascii="Calibri" w:hAnsi="Calibri" w:cs="Calibri"/>
          <w:b/>
          <w:bCs/>
          <w:sz w:val="32"/>
          <w:szCs w:val="32"/>
        </w:rPr>
      </w:pPr>
      <w:r>
        <w:rPr>
          <w:rFonts w:ascii="Calibri" w:eastAsia="Times New Roman" w:hAnsi="Calibri" w:cs="Calibri"/>
          <w:b/>
          <w:bCs/>
          <w:noProof/>
          <w:color w:val="000000"/>
          <w:sz w:val="36"/>
          <w:szCs w:val="36"/>
          <w:shd w:val="clear" w:color="auto" w:fill="FFFF00"/>
        </w:rPr>
        <w:drawing>
          <wp:anchor distT="0" distB="0" distL="114300" distR="114300" simplePos="0" relativeHeight="251659264" behindDoc="0" locked="0" layoutInCell="1" allowOverlap="1" wp14:anchorId="1BC58FF8" wp14:editId="7BD050B4">
            <wp:simplePos x="0" y="0"/>
            <wp:positionH relativeFrom="column">
              <wp:posOffset>95250</wp:posOffset>
            </wp:positionH>
            <wp:positionV relativeFrom="paragraph">
              <wp:posOffset>161290</wp:posOffset>
            </wp:positionV>
            <wp:extent cx="1488597" cy="1237676"/>
            <wp:effectExtent l="0" t="0" r="0" b="574"/>
            <wp:wrapSquare wrapText="bothSides"/>
            <wp:docPr id="350292636" name="Immagine1" descr="Immagine che contiene testo, Carattere, logo, simbol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350292636" name="Immagine1" descr="Immagine che contiene testo, Carattere, logo, simbolo&#10;&#10;Il contenuto generato dall'IA potrebbe non essere corretto."/>
                    <pic:cNvPicPr/>
                  </pic:nvPicPr>
                  <pic:blipFill>
                    <a:blip r:embed="rId4">
                      <a:lum/>
                      <a:alphaModFix/>
                    </a:blip>
                    <a:srcRect/>
                    <a:stretch>
                      <a:fillRect/>
                    </a:stretch>
                  </pic:blipFill>
                  <pic:spPr>
                    <a:xfrm>
                      <a:off x="0" y="0"/>
                      <a:ext cx="1488597" cy="1237676"/>
                    </a:xfrm>
                    <a:prstGeom prst="rect">
                      <a:avLst/>
                    </a:prstGeom>
                    <a:noFill/>
                    <a:ln>
                      <a:noFill/>
                      <a:prstDash/>
                    </a:ln>
                  </pic:spPr>
                </pic:pic>
              </a:graphicData>
            </a:graphic>
          </wp:anchor>
        </w:drawing>
      </w:r>
    </w:p>
    <w:p w14:paraId="7C9B8589" w14:textId="77777777" w:rsidR="00746EBB" w:rsidRDefault="00746EBB" w:rsidP="00746EBB">
      <w:pPr>
        <w:ind w:left="567"/>
        <w:rPr>
          <w:rFonts w:ascii="Calibri" w:hAnsi="Calibri" w:cs="Calibri"/>
          <w:b/>
          <w:bCs/>
          <w:sz w:val="32"/>
          <w:szCs w:val="32"/>
        </w:rPr>
      </w:pPr>
    </w:p>
    <w:p w14:paraId="527D1CCA" w14:textId="77777777" w:rsidR="00746EBB" w:rsidRDefault="00746EBB" w:rsidP="00746EBB">
      <w:pPr>
        <w:ind w:left="567"/>
        <w:rPr>
          <w:rFonts w:ascii="Calibri" w:hAnsi="Calibri" w:cs="Calibri"/>
          <w:b/>
          <w:bCs/>
          <w:sz w:val="32"/>
          <w:szCs w:val="32"/>
        </w:rPr>
      </w:pPr>
    </w:p>
    <w:p w14:paraId="6818062B" w14:textId="77777777" w:rsidR="00746EBB" w:rsidRDefault="00746EBB" w:rsidP="00746EBB">
      <w:pPr>
        <w:ind w:left="567"/>
        <w:rPr>
          <w:rFonts w:ascii="Calibri" w:hAnsi="Calibri" w:cs="Calibri"/>
          <w:b/>
          <w:bCs/>
          <w:sz w:val="32"/>
          <w:szCs w:val="32"/>
        </w:rPr>
      </w:pPr>
    </w:p>
    <w:p w14:paraId="41AF9CF8" w14:textId="77777777" w:rsidR="00746EBB" w:rsidRDefault="00746EBB" w:rsidP="00746EBB">
      <w:pPr>
        <w:ind w:left="567"/>
        <w:rPr>
          <w:rFonts w:ascii="Calibri" w:hAnsi="Calibri" w:cs="Calibri"/>
          <w:b/>
          <w:bCs/>
          <w:sz w:val="32"/>
          <w:szCs w:val="32"/>
        </w:rPr>
      </w:pPr>
    </w:p>
    <w:p w14:paraId="036E516F" w14:textId="77777777" w:rsidR="00746EBB" w:rsidRDefault="00746EBB" w:rsidP="00746EBB">
      <w:pPr>
        <w:ind w:left="567"/>
        <w:rPr>
          <w:rFonts w:ascii="Calibri" w:hAnsi="Calibri" w:cs="Calibri"/>
          <w:b/>
          <w:bCs/>
          <w:sz w:val="32"/>
          <w:szCs w:val="32"/>
        </w:rPr>
      </w:pPr>
    </w:p>
    <w:p w14:paraId="62F5B778" w14:textId="77777777" w:rsidR="00746EBB" w:rsidRDefault="00746EBB" w:rsidP="00746EBB">
      <w:pPr>
        <w:ind w:left="567"/>
        <w:rPr>
          <w:rFonts w:ascii="Calibri" w:hAnsi="Calibri" w:cs="Calibri"/>
          <w:b/>
          <w:bCs/>
          <w:sz w:val="32"/>
          <w:szCs w:val="32"/>
        </w:rPr>
      </w:pPr>
    </w:p>
    <w:p w14:paraId="01BA4C40" w14:textId="3A36CA25" w:rsidR="00746EBB" w:rsidRDefault="00746EBB" w:rsidP="00746EBB">
      <w:pPr>
        <w:ind w:left="567" w:right="707"/>
        <w:rPr>
          <w:rFonts w:ascii="Calibri" w:hAnsi="Calibri" w:cs="Calibri"/>
          <w:b/>
          <w:bCs/>
          <w:sz w:val="32"/>
          <w:szCs w:val="32"/>
        </w:rPr>
      </w:pPr>
      <w:r>
        <w:rPr>
          <w:rFonts w:ascii="Calibri" w:hAnsi="Calibri" w:cs="Calibri"/>
          <w:b/>
          <w:bCs/>
          <w:sz w:val="32"/>
          <w:szCs w:val="32"/>
        </w:rPr>
        <w:t>DONAZIONE LOKAR</w:t>
      </w:r>
    </w:p>
    <w:p w14:paraId="630BEC58" w14:textId="77777777" w:rsidR="00746EBB" w:rsidRDefault="00746EBB" w:rsidP="00746EBB">
      <w:pPr>
        <w:ind w:left="567" w:right="707"/>
        <w:rPr>
          <w:rFonts w:ascii="Calibri" w:hAnsi="Calibri" w:cs="Calibri"/>
          <w:b/>
          <w:bCs/>
          <w:sz w:val="32"/>
          <w:szCs w:val="32"/>
        </w:rPr>
      </w:pPr>
      <w:r>
        <w:rPr>
          <w:rFonts w:ascii="Calibri" w:hAnsi="Calibri" w:cs="Calibri"/>
          <w:b/>
          <w:bCs/>
          <w:sz w:val="32"/>
          <w:szCs w:val="32"/>
        </w:rPr>
        <w:t>Lo splendore della porcellana europea</w:t>
      </w:r>
    </w:p>
    <w:p w14:paraId="5B76D58B" w14:textId="77777777" w:rsidR="00746EBB" w:rsidRDefault="00746EBB" w:rsidP="00746EBB">
      <w:pPr>
        <w:ind w:left="567" w:right="707"/>
        <w:rPr>
          <w:rFonts w:ascii="Calibri" w:hAnsi="Calibri" w:cs="Calibri"/>
          <w:b/>
          <w:bCs/>
        </w:rPr>
      </w:pPr>
    </w:p>
    <w:p w14:paraId="78EB23B6" w14:textId="77777777" w:rsidR="00746EBB" w:rsidRDefault="00746EBB" w:rsidP="00746EBB">
      <w:pPr>
        <w:pStyle w:val="Standard"/>
        <w:ind w:left="567" w:right="707"/>
        <w:rPr>
          <w:rFonts w:ascii="Calibri" w:hAnsi="Calibri" w:cs="Calibri"/>
          <w:b/>
          <w:bCs/>
          <w:szCs w:val="28"/>
        </w:rPr>
      </w:pPr>
      <w:r>
        <w:rPr>
          <w:rFonts w:ascii="Calibri" w:hAnsi="Calibri" w:cs="Calibri"/>
          <w:b/>
          <w:bCs/>
          <w:szCs w:val="28"/>
        </w:rPr>
        <w:t>Trieste, Museo Civico Sartorio</w:t>
      </w:r>
    </w:p>
    <w:p w14:paraId="1D404FA1" w14:textId="77777777" w:rsidR="00746EBB" w:rsidRDefault="00746EBB" w:rsidP="00746EBB">
      <w:pPr>
        <w:ind w:left="567" w:right="707"/>
        <w:rPr>
          <w:rFonts w:ascii="Calibri" w:hAnsi="Calibri" w:cs="Calibri"/>
        </w:rPr>
      </w:pPr>
      <w:r>
        <w:rPr>
          <w:rFonts w:ascii="Calibri" w:hAnsi="Calibri" w:cs="Calibri"/>
        </w:rPr>
        <w:t>Largo Papa Giovanni XXIII 1</w:t>
      </w:r>
    </w:p>
    <w:p w14:paraId="52A418AB" w14:textId="77777777" w:rsidR="00746EBB" w:rsidRDefault="00746EBB" w:rsidP="00746EBB">
      <w:pPr>
        <w:ind w:left="567" w:right="707"/>
        <w:rPr>
          <w:rFonts w:ascii="Calibri" w:hAnsi="Calibri" w:cs="Calibri"/>
        </w:rPr>
      </w:pPr>
    </w:p>
    <w:p w14:paraId="1F1AD742" w14:textId="6CB45C6C" w:rsidR="00746EBB" w:rsidRPr="00746EBB" w:rsidRDefault="00746EBB" w:rsidP="00746EBB">
      <w:pPr>
        <w:ind w:left="567" w:right="707"/>
        <w:rPr>
          <w:rFonts w:ascii="Calibri" w:hAnsi="Calibri" w:cs="Calibri"/>
          <w:u w:val="single"/>
        </w:rPr>
      </w:pPr>
      <w:r w:rsidRPr="00746EBB">
        <w:rPr>
          <w:rFonts w:ascii="Calibri" w:hAnsi="Calibri" w:cs="Calibri"/>
          <w:u w:val="single"/>
        </w:rPr>
        <w:t>Nota Informativa</w:t>
      </w:r>
    </w:p>
    <w:p w14:paraId="6C4BAB43" w14:textId="77777777" w:rsidR="00746EBB" w:rsidRDefault="00746EBB" w:rsidP="00746EBB">
      <w:pPr>
        <w:ind w:left="567" w:right="707"/>
        <w:rPr>
          <w:rFonts w:ascii="Calibri" w:hAnsi="Calibri" w:cs="Calibri"/>
        </w:rPr>
      </w:pPr>
    </w:p>
    <w:p w14:paraId="5D8D90E5" w14:textId="7C5334BB" w:rsidR="00746EBB" w:rsidRDefault="00746EBB" w:rsidP="00746EBB">
      <w:pPr>
        <w:ind w:left="567" w:right="707"/>
        <w:jc w:val="right"/>
        <w:rPr>
          <w:rFonts w:ascii="Calibri" w:eastAsia="Bookman Old Style" w:hAnsi="Calibri" w:cs="Calibri"/>
          <w:b/>
          <w:bCs/>
          <w:i/>
          <w:iCs/>
          <w:color w:val="000000"/>
        </w:rPr>
      </w:pPr>
      <w:r>
        <w:rPr>
          <w:rFonts w:ascii="Calibri" w:eastAsia="Bookman Old Style" w:hAnsi="Calibri" w:cs="Calibri"/>
          <w:b/>
          <w:bCs/>
          <w:i/>
          <w:iCs/>
          <w:color w:val="000000"/>
        </w:rPr>
        <w:t>La Collezione Lokar. Porcellane da Vienna a Venezia e oltre</w:t>
      </w:r>
    </w:p>
    <w:p w14:paraId="1AFC97F5" w14:textId="77777777" w:rsidR="00746EBB" w:rsidRDefault="00746EBB" w:rsidP="00746EBB">
      <w:pPr>
        <w:pStyle w:val="Standard"/>
        <w:ind w:left="567" w:right="707"/>
        <w:jc w:val="both"/>
        <w:rPr>
          <w:rFonts w:ascii="Calibri" w:eastAsia="Bookman Old Style" w:hAnsi="Calibri" w:cs="Calibri"/>
        </w:rPr>
      </w:pPr>
    </w:p>
    <w:p w14:paraId="675E41A8" w14:textId="77777777" w:rsidR="00746EBB" w:rsidRDefault="00746EBB" w:rsidP="00746EBB">
      <w:pPr>
        <w:pStyle w:val="Standard"/>
        <w:ind w:left="567" w:right="707"/>
        <w:jc w:val="both"/>
        <w:rPr>
          <w:rFonts w:ascii="Calibri" w:eastAsia="CIDFont+F4" w:hAnsi="Calibri" w:cs="Calibri"/>
          <w:color w:val="000000"/>
          <w:szCs w:val="28"/>
        </w:rPr>
      </w:pPr>
      <w:r>
        <w:rPr>
          <w:rFonts w:ascii="Calibri" w:eastAsia="CIDFont+F4" w:hAnsi="Calibri" w:cs="Calibri"/>
          <w:color w:val="000000"/>
          <w:szCs w:val="28"/>
        </w:rPr>
        <w:t>Nella storia di ogni collezione si intrecciano la cultura, lo studio e il gusto di chi con passione e metodo l’ha formata: gli oggetti vengono ricercati e selezionati in base a criteri estetici che rispecchiano la personalità e la curiosità del collezionista.</w:t>
      </w:r>
    </w:p>
    <w:p w14:paraId="2609B7F4" w14:textId="77777777" w:rsidR="00746EBB" w:rsidRDefault="00746EBB" w:rsidP="00746EBB">
      <w:pPr>
        <w:pStyle w:val="Standard"/>
        <w:ind w:left="567" w:right="707"/>
        <w:jc w:val="both"/>
      </w:pPr>
      <w:r>
        <w:rPr>
          <w:rFonts w:ascii="Calibri" w:eastAsia="CIDFont+F4" w:hAnsi="Calibri" w:cs="Calibri"/>
          <w:color w:val="000000"/>
          <w:szCs w:val="28"/>
        </w:rPr>
        <w:t>Grazie a un evidente intento enciclopedico, la collezione di Giovanni Lokar si distingue per abbondanza e completezza, in virtù delle quali c</w:t>
      </w:r>
      <w:r>
        <w:rPr>
          <w:rFonts w:ascii="Calibri" w:eastAsia="Bookman Old Style" w:hAnsi="Calibri" w:cs="Calibri"/>
          <w:color w:val="000000"/>
        </w:rPr>
        <w:t xml:space="preserve">onsente di </w:t>
      </w:r>
      <w:r>
        <w:rPr>
          <w:rFonts w:ascii="Calibri" w:eastAsia="CIDFont+F4" w:hAnsi="Calibri" w:cs="Calibri"/>
          <w:color w:val="000000"/>
          <w:szCs w:val="28"/>
        </w:rPr>
        <w:t>ripercorrere la fortunata e articolata storia della porcellana europea, a partire dal suo avvio nel 1709 in Germania, e di approfondirne la produzione in particolare lungo tutto il XVIII secolo, spingendosi anche nella prima metà del secolo seguente. Sono oltre 80 le manifatture documentate almeno da un oggetto, dall’ambito tedesco all’Italia e all’Europa intera, dalla Spagna alla Repubblica Ceca, dalla Francia alla Danimarca, dal Regno Unito alla Russia. Nel caso delle principali manifatture, il collezionista predilige gli esemplari dei primi anni di attività, a prima vista forse meno appariscenti ma di assoluta rarità. Sebbene non manchino servizi, piatti, caffettiere, teiere e sculture, prevalgono le tazze con piattino che, nonostante le dimensioni ridotte, per la loro forma presentano le superfici più adatte a dare risalto al decoro pittorico e agli eleganti fregi in oro.</w:t>
      </w:r>
    </w:p>
    <w:p w14:paraId="5DE2D106" w14:textId="77777777" w:rsidR="00746EBB" w:rsidRDefault="00746EBB" w:rsidP="00746EBB">
      <w:pPr>
        <w:pStyle w:val="Standard"/>
        <w:ind w:left="567" w:right="707"/>
        <w:jc w:val="both"/>
      </w:pPr>
      <w:r>
        <w:rPr>
          <w:rFonts w:ascii="Calibri" w:eastAsia="CIDFont+F4" w:hAnsi="Calibri" w:cs="Calibri"/>
          <w:color w:val="000000"/>
          <w:szCs w:val="28"/>
        </w:rPr>
        <w:t>I manufatti sono magnifici esempi della porcellana barocca del primo Settecento, in perfetto stato di conservazione e dotati di marchio, quando la fabbrica lo utilizzava.</w:t>
      </w:r>
    </w:p>
    <w:p w14:paraId="6179B4A9" w14:textId="77777777" w:rsidR="00746EBB" w:rsidRDefault="00746EBB" w:rsidP="00746EBB">
      <w:pPr>
        <w:pStyle w:val="Standard"/>
        <w:ind w:left="567" w:right="707"/>
        <w:jc w:val="both"/>
      </w:pPr>
      <w:r>
        <w:rPr>
          <w:rFonts w:ascii="Calibri" w:eastAsia="CIDFont+F4" w:hAnsi="Calibri" w:cs="Calibri"/>
          <w:color w:val="000000"/>
          <w:szCs w:val="28"/>
        </w:rPr>
        <w:t>Le scelte con cui sono stati selezionati recano un’impronta del tutto personale, che appare originata dalla storia e dalla cultura della città in cui il collezionista abita: Trieste, da secoli all’incrocio politico tra Venezia e Vienna, tra l’influsso italiano e quello germanico.</w:t>
      </w:r>
    </w:p>
    <w:p w14:paraId="15149D4D" w14:textId="77777777" w:rsidR="00746EBB" w:rsidRDefault="00746EBB" w:rsidP="00746EBB">
      <w:pPr>
        <w:pStyle w:val="Standard"/>
        <w:ind w:left="567" w:right="707"/>
        <w:jc w:val="both"/>
        <w:rPr>
          <w:rFonts w:ascii="Calibri" w:eastAsia="CIDFont+F4" w:hAnsi="Calibri" w:cs="Calibri"/>
          <w:color w:val="000000"/>
          <w:szCs w:val="28"/>
        </w:rPr>
      </w:pPr>
      <w:r>
        <w:rPr>
          <w:rFonts w:ascii="Calibri" w:eastAsia="CIDFont+F4" w:hAnsi="Calibri" w:cs="Calibri"/>
          <w:color w:val="000000"/>
          <w:szCs w:val="28"/>
        </w:rPr>
        <w:t>Giovanni Lokar si concentra infatti fin dall’inizio sulla manifattura Du Paquier di Vienna, con il suo perfetto equilibrio tra la grandiosa magniloquenza del decoro e la sciolta eleganza delle linee.</w:t>
      </w:r>
    </w:p>
    <w:p w14:paraId="52E347A5" w14:textId="77777777" w:rsidR="00746EBB" w:rsidRDefault="00746EBB" w:rsidP="00746EBB">
      <w:pPr>
        <w:pStyle w:val="Standard"/>
        <w:ind w:left="567" w:right="707"/>
        <w:jc w:val="both"/>
      </w:pPr>
      <w:r>
        <w:rPr>
          <w:rFonts w:ascii="Calibri" w:eastAsia="CIDFont+F4" w:hAnsi="Calibri" w:cs="Calibri"/>
          <w:color w:val="000000"/>
          <w:szCs w:val="28"/>
        </w:rPr>
        <w:t xml:space="preserve">Contestualmente, nell’addentrarsi nel campo della porcellana italiana, di cui egli apprezza l’indipendenza stilistica e la mancanza di ripetitività nei decori, dedica una </w:t>
      </w:r>
      <w:r>
        <w:rPr>
          <w:rFonts w:ascii="Calibri" w:eastAsia="CIDFont+F4" w:hAnsi="Calibri" w:cs="Calibri"/>
          <w:color w:val="000000"/>
          <w:szCs w:val="28"/>
        </w:rPr>
        <w:lastRenderedPageBreak/>
        <w:t xml:space="preserve">particolare attenzione alle fabbriche veneziane: il primo acquisto di porcellana italiana è infatti un piattino dell’armoniosa manifattura Vezzi di Venezia, che lo interessa per l’originale e tipicamente veneziana interpretazione degli stilemi della porcellana di Meissen e Vienna. Non mancano numerosi e significativi esemplari delle altre manifatture lagunari – la rarissima Hewelcke e l’elegante e variegata Cozzi – e di tutte le manifatture venete, anche meno note, e italiane: uno degli aspetti più rilevanti della raccolta è costituito dal </w:t>
      </w:r>
      <w:r>
        <w:rPr>
          <w:rFonts w:ascii="Calibri" w:eastAsia="CIDFont+F4" w:hAnsi="Calibri" w:cs="Calibri"/>
          <w:i/>
          <w:iCs/>
          <w:color w:val="000000"/>
          <w:szCs w:val="28"/>
        </w:rPr>
        <w:t>corpus</w:t>
      </w:r>
      <w:r>
        <w:rPr>
          <w:rFonts w:ascii="Calibri" w:eastAsia="CIDFont+F4" w:hAnsi="Calibri" w:cs="Calibri"/>
          <w:color w:val="000000"/>
          <w:szCs w:val="28"/>
        </w:rPr>
        <w:t xml:space="preserve"> delle porcellane Ginori, con alcuni pezzi somiglianti proprio alla porcellana di Du Paquier.</w:t>
      </w:r>
    </w:p>
    <w:p w14:paraId="74407961" w14:textId="77777777" w:rsidR="00746EBB" w:rsidRDefault="00746EBB" w:rsidP="00746EBB">
      <w:pPr>
        <w:pStyle w:val="Standard"/>
        <w:ind w:left="567" w:right="707"/>
        <w:jc w:val="both"/>
      </w:pPr>
      <w:r>
        <w:rPr>
          <w:rFonts w:ascii="Calibri" w:eastAsia="CIDFont+F4" w:hAnsi="Calibri" w:cs="Calibri"/>
          <w:color w:val="000000"/>
          <w:szCs w:val="28"/>
        </w:rPr>
        <w:t>Emerge anche un ricco nucleo di porcellane araldiche, decorate con stemmi nobiliari, con un</w:t>
      </w:r>
      <w:r>
        <w:rPr>
          <w:rFonts w:ascii="Calibri" w:eastAsia="CIDFont+F4" w:hAnsi="Calibri" w:cs="Calibri"/>
          <w:i/>
          <w:iCs/>
          <w:color w:val="000000"/>
          <w:szCs w:val="28"/>
        </w:rPr>
        <w:t xml:space="preserve"> focus </w:t>
      </w:r>
      <w:r>
        <w:rPr>
          <w:rFonts w:ascii="Calibri" w:eastAsia="CIDFont+F4" w:hAnsi="Calibri" w:cs="Calibri"/>
          <w:color w:val="000000"/>
          <w:szCs w:val="28"/>
        </w:rPr>
        <w:t xml:space="preserve">particolare sia su quelle realizzate a Venezia e nel Veneto, sia su quelle commissionate alla manifattura di Meissen dalle nobili famiglie veneziane fra il 1730 e il 1750: fragili oggetti rappresentativi, destinati essenzialmente all’esibizione di uno </w:t>
      </w:r>
      <w:r>
        <w:rPr>
          <w:rFonts w:ascii="Calibri" w:eastAsia="CIDFont+F4" w:hAnsi="Calibri" w:cs="Calibri"/>
          <w:i/>
          <w:iCs/>
          <w:color w:val="000000"/>
          <w:szCs w:val="28"/>
        </w:rPr>
        <w:t>status</w:t>
      </w:r>
      <w:r>
        <w:rPr>
          <w:rFonts w:ascii="Calibri" w:eastAsia="CIDFont+F4" w:hAnsi="Calibri" w:cs="Calibri"/>
          <w:color w:val="000000"/>
          <w:szCs w:val="28"/>
        </w:rPr>
        <w:t xml:space="preserve"> sociale.</w:t>
      </w:r>
    </w:p>
    <w:p w14:paraId="687D626A" w14:textId="77777777" w:rsidR="00746EBB" w:rsidRDefault="00746EBB" w:rsidP="00746EBB">
      <w:pPr>
        <w:pStyle w:val="Standard"/>
        <w:ind w:left="567" w:right="707"/>
        <w:jc w:val="both"/>
      </w:pPr>
      <w:r>
        <w:rPr>
          <w:rFonts w:ascii="Calibri" w:eastAsia="CIDFont+F4" w:hAnsi="Calibri" w:cs="Calibri"/>
          <w:color w:val="000000"/>
          <w:szCs w:val="28"/>
        </w:rPr>
        <w:t>Un altro filo conduttore che rende unica questa collezione è l’attenzione prestata alle manifatture, anche le più rare, degli stati del Sacro Romano Impero: ne sono documentate più di 30, ciascuna con un carattere proprio, determinato dallo stile dell’epoca e dalle preferenze dei sovrani che le sostenevano. Gli oggetti selezionati spaziano tra le tipologie della porcellana da tavola e testimoniano la grande varietà di forme e decorazioni sviluppate in pochi decenni, fino alla metà del XVIII secolo, per i banchetti dei regnanti e apprezzate poi dalla borghesia.</w:t>
      </w:r>
    </w:p>
    <w:p w14:paraId="2D35772B" w14:textId="77777777" w:rsidR="00746EBB" w:rsidRDefault="00746EBB" w:rsidP="00746EBB">
      <w:pPr>
        <w:pStyle w:val="Standard"/>
        <w:ind w:left="567" w:right="707"/>
        <w:jc w:val="both"/>
      </w:pPr>
      <w:r>
        <w:rPr>
          <w:rFonts w:ascii="Calibri" w:eastAsia="CIDFont+F4" w:hAnsi="Calibri" w:cs="Calibri"/>
          <w:color w:val="000000"/>
          <w:szCs w:val="28"/>
        </w:rPr>
        <w:t xml:space="preserve">Di eccezionale interesse il nucleo di porcellane riconducibili all’attività degli </w:t>
      </w:r>
      <w:r>
        <w:rPr>
          <w:rFonts w:ascii="Calibri" w:eastAsia="CIDFont+F4" w:hAnsi="Calibri" w:cs="Calibri"/>
          <w:i/>
          <w:iCs/>
          <w:color w:val="000000"/>
          <w:szCs w:val="28"/>
        </w:rPr>
        <w:t>Hausmaler</w:t>
      </w:r>
      <w:r>
        <w:rPr>
          <w:rFonts w:ascii="Calibri" w:eastAsia="CIDFont+F4" w:hAnsi="Calibri" w:cs="Calibri"/>
          <w:color w:val="000000"/>
          <w:szCs w:val="28"/>
        </w:rPr>
        <w:t xml:space="preserve">, pittori a domicilio (in prevalenza tedeschi di Bayreuth e Augsburg, ma anche boemi, olandesi e inglesi) che, nei primi anni successivi alla scoperta della formula della porcellana, passarono dalla decorazione su vetro e maiolica a quella sulla porcellana sassone, viennese e cinese. Nelle loro botteghe, attive dall’inizio del XVIII secolo almeno fino alla Guerra dei Sette Anni (1756-1763), venivano realizzati decori sopravernice a piccolo fuoco, con una tavolozza di colori inizialmente molto ristretta – il nero, detto </w:t>
      </w:r>
      <w:r>
        <w:rPr>
          <w:rFonts w:ascii="Calibri" w:eastAsia="CIDFont+F4" w:hAnsi="Calibri" w:cs="Calibri"/>
          <w:i/>
          <w:iCs/>
          <w:color w:val="000000"/>
          <w:szCs w:val="28"/>
        </w:rPr>
        <w:t>Schwarzlot</w:t>
      </w:r>
      <w:r>
        <w:rPr>
          <w:rFonts w:ascii="Calibri" w:eastAsia="CIDFont+F4" w:hAnsi="Calibri" w:cs="Calibri"/>
          <w:color w:val="000000"/>
          <w:szCs w:val="28"/>
        </w:rPr>
        <w:t>, il rosso di ferro e l’oro – che con il passare degli anni si amplierà fino ai toni pastello. Altrettanto interessanti sono le figure degli artisti girovaghi o itineranti, che si spostavano da una manifattura all’altra alla ricerca di migliori profitti e che con la loro pittura furono interpreti e diffusori di gusti e mode attraverso l’intera Europa.</w:t>
      </w:r>
    </w:p>
    <w:p w14:paraId="77296D5B" w14:textId="77777777" w:rsidR="00746EBB" w:rsidRDefault="00746EBB" w:rsidP="00746EBB">
      <w:pPr>
        <w:pStyle w:val="Standard"/>
        <w:ind w:left="567" w:right="707"/>
        <w:jc w:val="both"/>
      </w:pPr>
      <w:r>
        <w:rPr>
          <w:rFonts w:ascii="Calibri" w:eastAsia="CIDFont+F4" w:hAnsi="Calibri" w:cs="Calibri"/>
          <w:color w:val="000000"/>
          <w:szCs w:val="28"/>
        </w:rPr>
        <w:t xml:space="preserve">Tra di essi bisogna ricordare il felice pittore Jacob Helchis “primo fra i virtuosi di pitturare le porcellane”, nato a Trieste. Attivo tra il 1730 e il 1750 circa presso la manifattura viennese Du Paquier e – tra il 1741 e il 1742 – presso la manifattura Rossetti di Torino, la sua firma compare per esteso su due splendide </w:t>
      </w:r>
      <w:r>
        <w:rPr>
          <w:rFonts w:ascii="Calibri" w:eastAsia="CIDFont+F4" w:hAnsi="Calibri" w:cs="Calibri"/>
          <w:i/>
          <w:iCs/>
          <w:color w:val="000000"/>
          <w:szCs w:val="28"/>
        </w:rPr>
        <w:t xml:space="preserve">écuelles </w:t>
      </w:r>
      <w:r>
        <w:rPr>
          <w:rFonts w:ascii="Calibri" w:eastAsia="CIDFont+F4" w:hAnsi="Calibri" w:cs="Calibri"/>
          <w:color w:val="000000"/>
          <w:szCs w:val="28"/>
        </w:rPr>
        <w:t>con coperchio e piatto, di cui una al British Museum di Londra e l’altra in collezione privata, in cui emergono la sua abilità nel disegno anatomico e nella prospettiva e la sua peculiare accuratezza nel trasferire su porcellana soggetti e tecniche desunti dalle incisioni.</w:t>
      </w:r>
    </w:p>
    <w:p w14:paraId="01CE8C9E" w14:textId="77777777" w:rsidR="008F5CFE" w:rsidRDefault="008F5CFE" w:rsidP="00746EBB">
      <w:pPr>
        <w:ind w:left="567" w:right="707"/>
      </w:pPr>
    </w:p>
    <w:sectPr w:rsidR="008F5CF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IDFont+F4">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EBB"/>
    <w:rsid w:val="000519E0"/>
    <w:rsid w:val="000A2B04"/>
    <w:rsid w:val="001E26C5"/>
    <w:rsid w:val="002370CF"/>
    <w:rsid w:val="004D230A"/>
    <w:rsid w:val="004D3DA7"/>
    <w:rsid w:val="0055223E"/>
    <w:rsid w:val="00584DAD"/>
    <w:rsid w:val="005A56B6"/>
    <w:rsid w:val="006C4EB6"/>
    <w:rsid w:val="00746EBB"/>
    <w:rsid w:val="00764AB9"/>
    <w:rsid w:val="008B2A8C"/>
    <w:rsid w:val="008F5CFE"/>
    <w:rsid w:val="009157B0"/>
    <w:rsid w:val="00B061A2"/>
    <w:rsid w:val="00B1611A"/>
    <w:rsid w:val="00BC3029"/>
    <w:rsid w:val="00CB0910"/>
    <w:rsid w:val="00CD48DF"/>
    <w:rsid w:val="00CF0CA5"/>
    <w:rsid w:val="00D4667E"/>
    <w:rsid w:val="00D8029E"/>
    <w:rsid w:val="00DB1DE1"/>
    <w:rsid w:val="00FF7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B61E6"/>
  <w15:chartTrackingRefBased/>
  <w15:docId w15:val="{8F1A05B8-0B7E-4B88-9283-F3FC5956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4"/>
        <w:szCs w:val="24"/>
        <w:lang w:val="it-IT"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46EBB"/>
    <w:pPr>
      <w:widowControl w:val="0"/>
      <w:suppressAutoHyphens/>
      <w:autoSpaceDN w:val="0"/>
      <w:spacing w:line="240" w:lineRule="auto"/>
      <w:textAlignment w:val="baseline"/>
    </w:pPr>
    <w:rPr>
      <w:rFonts w:ascii="Liberation Serif" w:eastAsia="NSimSun" w:hAnsi="Liberation Serif" w:cs="Lucida Sans"/>
      <w:kern w:val="3"/>
      <w:lang w:eastAsia="zh-CN" w:bidi="hi-IN"/>
    </w:rPr>
  </w:style>
  <w:style w:type="paragraph" w:styleId="Titolo1">
    <w:name w:val="heading 1"/>
    <w:basedOn w:val="Normale"/>
    <w:next w:val="Normale"/>
    <w:link w:val="Titolo1Carattere"/>
    <w:uiPriority w:val="9"/>
    <w:qFormat/>
    <w:rsid w:val="00746EB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746EB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746EB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746EB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746EBB"/>
    <w:pPr>
      <w:keepNext/>
      <w:keepLines/>
      <w:spacing w:before="80" w:after="40"/>
      <w:outlineLvl w:val="4"/>
    </w:pPr>
    <w:rPr>
      <w:rFonts w:asciiTheme="minorHAnsi" w:eastAsiaTheme="majorEastAsia" w:hAnsiTheme="min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746EBB"/>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746EBB"/>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746EBB"/>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746EBB"/>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46EBB"/>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746EBB"/>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746EBB"/>
    <w:rPr>
      <w:rFonts w:asciiTheme="minorHAnsi" w:eastAsiaTheme="majorEastAsia" w:hAnsiTheme="minorHAnsi"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746EBB"/>
    <w:rPr>
      <w:rFonts w:asciiTheme="minorHAnsi" w:eastAsiaTheme="majorEastAsia" w:hAnsiTheme="min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746EBB"/>
    <w:rPr>
      <w:rFonts w:asciiTheme="minorHAnsi" w:eastAsiaTheme="majorEastAsia" w:hAnsiTheme="minorHAnsi" w:cstheme="majorBidi"/>
      <w:color w:val="2F5496" w:themeColor="accent1" w:themeShade="BF"/>
    </w:rPr>
  </w:style>
  <w:style w:type="character" w:customStyle="1" w:styleId="Titolo6Carattere">
    <w:name w:val="Titolo 6 Carattere"/>
    <w:basedOn w:val="Carpredefinitoparagrafo"/>
    <w:link w:val="Titolo6"/>
    <w:uiPriority w:val="9"/>
    <w:semiHidden/>
    <w:rsid w:val="00746EBB"/>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746EBB"/>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746EBB"/>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746EBB"/>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746EBB"/>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46EB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46EB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46EBB"/>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46EB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46EBB"/>
    <w:rPr>
      <w:i/>
      <w:iCs/>
      <w:color w:val="404040" w:themeColor="text1" w:themeTint="BF"/>
    </w:rPr>
  </w:style>
  <w:style w:type="paragraph" w:styleId="Paragrafoelenco">
    <w:name w:val="List Paragraph"/>
    <w:basedOn w:val="Normale"/>
    <w:uiPriority w:val="34"/>
    <w:qFormat/>
    <w:rsid w:val="00746EBB"/>
    <w:pPr>
      <w:ind w:left="720"/>
      <w:contextualSpacing/>
    </w:pPr>
  </w:style>
  <w:style w:type="character" w:styleId="Enfasiintensa">
    <w:name w:val="Intense Emphasis"/>
    <w:basedOn w:val="Carpredefinitoparagrafo"/>
    <w:uiPriority w:val="21"/>
    <w:qFormat/>
    <w:rsid w:val="00746EBB"/>
    <w:rPr>
      <w:i/>
      <w:iCs/>
      <w:color w:val="2F5496" w:themeColor="accent1" w:themeShade="BF"/>
    </w:rPr>
  </w:style>
  <w:style w:type="paragraph" w:styleId="Citazioneintensa">
    <w:name w:val="Intense Quote"/>
    <w:basedOn w:val="Normale"/>
    <w:next w:val="Normale"/>
    <w:link w:val="CitazioneintensaCarattere"/>
    <w:uiPriority w:val="30"/>
    <w:qFormat/>
    <w:rsid w:val="00746E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746EBB"/>
    <w:rPr>
      <w:i/>
      <w:iCs/>
      <w:color w:val="2F5496" w:themeColor="accent1" w:themeShade="BF"/>
    </w:rPr>
  </w:style>
  <w:style w:type="character" w:styleId="Riferimentointenso">
    <w:name w:val="Intense Reference"/>
    <w:basedOn w:val="Carpredefinitoparagrafo"/>
    <w:uiPriority w:val="32"/>
    <w:qFormat/>
    <w:rsid w:val="00746EBB"/>
    <w:rPr>
      <w:b/>
      <w:bCs/>
      <w:smallCaps/>
      <w:color w:val="2F5496" w:themeColor="accent1" w:themeShade="BF"/>
      <w:spacing w:val="5"/>
    </w:rPr>
  </w:style>
  <w:style w:type="paragraph" w:customStyle="1" w:styleId="Standard">
    <w:name w:val="Standard"/>
    <w:rsid w:val="00746EBB"/>
    <w:pPr>
      <w:suppressAutoHyphens/>
      <w:autoSpaceDN w:val="0"/>
      <w:spacing w:line="240" w:lineRule="auto"/>
      <w:textAlignment w:val="baseline"/>
    </w:pPr>
    <w:rPr>
      <w:rFonts w:ascii="Times New Roman" w:eastAsia="Times New Roman" w:hAnsi="Times New Roman" w:cs="Times New Roman"/>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820</Words>
  <Characters>4675</Characters>
  <Application>Microsoft Office Word</Application>
  <DocSecurity>0</DocSecurity>
  <Lines>38</Lines>
  <Paragraphs>10</Paragraphs>
  <ScaleCrop>false</ScaleCrop>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 STUDIO ESSECI</dc:creator>
  <cp:keywords/>
  <dc:description/>
  <cp:lastModifiedBy>Elisa - STUDIO ESSECI</cp:lastModifiedBy>
  <cp:revision>1</cp:revision>
  <dcterms:created xsi:type="dcterms:W3CDTF">2025-11-20T09:34:00Z</dcterms:created>
  <dcterms:modified xsi:type="dcterms:W3CDTF">2025-11-20T09:38:00Z</dcterms:modified>
</cp:coreProperties>
</file>