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10BB1" w14:textId="2D99268C" w:rsidR="00470817" w:rsidRDefault="00470817" w:rsidP="00470817">
      <w:pPr>
        <w:ind w:left="567"/>
        <w:rPr>
          <w:rFonts w:ascii="Calibri" w:hAnsi="Calibri" w:cs="Calibri"/>
          <w:b/>
          <w:bCs/>
          <w:sz w:val="32"/>
          <w:szCs w:val="32"/>
        </w:rPr>
      </w:pPr>
      <w:r>
        <w:rPr>
          <w:rFonts w:ascii="Calibri" w:eastAsia="Times New Roman" w:hAnsi="Calibri" w:cs="Calibri"/>
          <w:b/>
          <w:bCs/>
          <w:noProof/>
          <w:color w:val="000000"/>
          <w:sz w:val="36"/>
          <w:szCs w:val="36"/>
          <w:shd w:val="clear" w:color="auto" w:fill="FFFF00"/>
        </w:rPr>
        <w:drawing>
          <wp:anchor distT="0" distB="0" distL="114300" distR="114300" simplePos="0" relativeHeight="251659264" behindDoc="0" locked="0" layoutInCell="1" allowOverlap="1" wp14:anchorId="67688639" wp14:editId="0552CDEA">
            <wp:simplePos x="0" y="0"/>
            <wp:positionH relativeFrom="column">
              <wp:posOffset>217714</wp:posOffset>
            </wp:positionH>
            <wp:positionV relativeFrom="paragraph">
              <wp:posOffset>206738</wp:posOffset>
            </wp:positionV>
            <wp:extent cx="1488597" cy="1237676"/>
            <wp:effectExtent l="0" t="0" r="0" b="574"/>
            <wp:wrapSquare wrapText="bothSides"/>
            <wp:docPr id="350292636" name="Immagine1" descr="Immagine che contiene testo, Carattere, logo, simbol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350292636" name="Immagine1" descr="Immagine che contiene testo, Carattere, logo, simbolo&#10;&#10;Il contenuto generato dall'IA potrebbe non essere corretto."/>
                    <pic:cNvPicPr/>
                  </pic:nvPicPr>
                  <pic:blipFill>
                    <a:blip r:embed="rId4">
                      <a:lum/>
                      <a:alphaModFix/>
                    </a:blip>
                    <a:srcRect/>
                    <a:stretch>
                      <a:fillRect/>
                    </a:stretch>
                  </pic:blipFill>
                  <pic:spPr>
                    <a:xfrm>
                      <a:off x="0" y="0"/>
                      <a:ext cx="1488597" cy="1237676"/>
                    </a:xfrm>
                    <a:prstGeom prst="rect">
                      <a:avLst/>
                    </a:prstGeom>
                    <a:noFill/>
                    <a:ln>
                      <a:noFill/>
                      <a:prstDash/>
                    </a:ln>
                  </pic:spPr>
                </pic:pic>
              </a:graphicData>
            </a:graphic>
          </wp:anchor>
        </w:drawing>
      </w:r>
    </w:p>
    <w:p w14:paraId="28EA41D8" w14:textId="77777777" w:rsidR="00470817" w:rsidRDefault="00470817" w:rsidP="00470817">
      <w:pPr>
        <w:ind w:left="567"/>
        <w:rPr>
          <w:rFonts w:ascii="Calibri" w:hAnsi="Calibri" w:cs="Calibri"/>
          <w:b/>
          <w:bCs/>
          <w:sz w:val="32"/>
          <w:szCs w:val="32"/>
        </w:rPr>
      </w:pPr>
    </w:p>
    <w:p w14:paraId="60231A31" w14:textId="77777777" w:rsidR="00470817" w:rsidRDefault="00470817" w:rsidP="00470817">
      <w:pPr>
        <w:ind w:left="567" w:right="707"/>
        <w:rPr>
          <w:rFonts w:ascii="Calibri" w:hAnsi="Calibri" w:cs="Calibri"/>
          <w:b/>
          <w:bCs/>
          <w:sz w:val="32"/>
          <w:szCs w:val="32"/>
        </w:rPr>
      </w:pPr>
    </w:p>
    <w:p w14:paraId="3D968FD6" w14:textId="77777777" w:rsidR="00470817" w:rsidRDefault="00470817" w:rsidP="00470817">
      <w:pPr>
        <w:ind w:left="567" w:right="707"/>
        <w:rPr>
          <w:rFonts w:ascii="Calibri" w:hAnsi="Calibri" w:cs="Calibri"/>
          <w:b/>
          <w:bCs/>
          <w:sz w:val="32"/>
          <w:szCs w:val="32"/>
        </w:rPr>
      </w:pPr>
    </w:p>
    <w:p w14:paraId="5742A145" w14:textId="77777777" w:rsidR="00470817" w:rsidRDefault="00470817" w:rsidP="00470817">
      <w:pPr>
        <w:ind w:left="567" w:right="707"/>
        <w:rPr>
          <w:rFonts w:ascii="Calibri" w:hAnsi="Calibri" w:cs="Calibri"/>
          <w:b/>
          <w:bCs/>
          <w:sz w:val="32"/>
          <w:szCs w:val="32"/>
        </w:rPr>
      </w:pPr>
    </w:p>
    <w:p w14:paraId="35E0FADA" w14:textId="77777777" w:rsidR="00470817" w:rsidRDefault="00470817" w:rsidP="00470817">
      <w:pPr>
        <w:ind w:left="567" w:right="707"/>
        <w:rPr>
          <w:rFonts w:ascii="Calibri" w:hAnsi="Calibri" w:cs="Calibri"/>
          <w:b/>
          <w:bCs/>
          <w:sz w:val="32"/>
          <w:szCs w:val="32"/>
        </w:rPr>
      </w:pPr>
    </w:p>
    <w:p w14:paraId="27CE0E7B" w14:textId="77777777" w:rsidR="00470817" w:rsidRDefault="00470817" w:rsidP="00470817">
      <w:pPr>
        <w:ind w:left="567" w:right="707"/>
        <w:rPr>
          <w:rFonts w:ascii="Calibri" w:hAnsi="Calibri" w:cs="Calibri"/>
          <w:b/>
          <w:bCs/>
          <w:sz w:val="32"/>
          <w:szCs w:val="32"/>
        </w:rPr>
      </w:pPr>
    </w:p>
    <w:p w14:paraId="3DECCC51" w14:textId="13045218" w:rsidR="00470817" w:rsidRDefault="00470817" w:rsidP="00470817">
      <w:pPr>
        <w:ind w:left="567" w:right="707"/>
        <w:rPr>
          <w:rFonts w:ascii="Calibri" w:hAnsi="Calibri" w:cs="Calibri"/>
          <w:b/>
          <w:bCs/>
          <w:sz w:val="32"/>
          <w:szCs w:val="32"/>
        </w:rPr>
      </w:pPr>
      <w:r>
        <w:rPr>
          <w:rFonts w:ascii="Calibri" w:hAnsi="Calibri" w:cs="Calibri"/>
          <w:b/>
          <w:bCs/>
          <w:sz w:val="32"/>
          <w:szCs w:val="32"/>
        </w:rPr>
        <w:t>DONAZIONE LOKAR</w:t>
      </w:r>
    </w:p>
    <w:p w14:paraId="406718E4" w14:textId="77777777" w:rsidR="00470817" w:rsidRDefault="00470817" w:rsidP="00470817">
      <w:pPr>
        <w:ind w:left="567" w:right="707"/>
        <w:rPr>
          <w:rFonts w:ascii="Calibri" w:hAnsi="Calibri" w:cs="Calibri"/>
          <w:b/>
          <w:bCs/>
          <w:sz w:val="32"/>
          <w:szCs w:val="32"/>
        </w:rPr>
      </w:pPr>
      <w:r>
        <w:rPr>
          <w:rFonts w:ascii="Calibri" w:hAnsi="Calibri" w:cs="Calibri"/>
          <w:b/>
          <w:bCs/>
          <w:sz w:val="32"/>
          <w:szCs w:val="32"/>
        </w:rPr>
        <w:t>Lo splendore della porcellana europea</w:t>
      </w:r>
    </w:p>
    <w:p w14:paraId="4E32B805" w14:textId="77777777" w:rsidR="00470817" w:rsidRDefault="00470817" w:rsidP="00470817">
      <w:pPr>
        <w:ind w:left="567" w:right="707"/>
        <w:rPr>
          <w:rFonts w:ascii="Calibri" w:hAnsi="Calibri" w:cs="Calibri"/>
          <w:b/>
          <w:bCs/>
        </w:rPr>
      </w:pPr>
    </w:p>
    <w:p w14:paraId="0ACA85D1" w14:textId="77777777" w:rsidR="00470817" w:rsidRDefault="00470817" w:rsidP="00470817">
      <w:pPr>
        <w:pStyle w:val="Standard"/>
        <w:ind w:left="567" w:right="707"/>
        <w:rPr>
          <w:rFonts w:ascii="Calibri" w:hAnsi="Calibri" w:cs="Calibri"/>
          <w:b/>
          <w:bCs/>
          <w:szCs w:val="28"/>
        </w:rPr>
      </w:pPr>
      <w:r>
        <w:rPr>
          <w:rFonts w:ascii="Calibri" w:hAnsi="Calibri" w:cs="Calibri"/>
          <w:b/>
          <w:bCs/>
          <w:szCs w:val="28"/>
        </w:rPr>
        <w:t>Trieste, Museo Civico Sartorio</w:t>
      </w:r>
    </w:p>
    <w:p w14:paraId="7C478DB2" w14:textId="77777777" w:rsidR="00470817" w:rsidRDefault="00470817" w:rsidP="00470817">
      <w:pPr>
        <w:ind w:left="567" w:right="707"/>
        <w:rPr>
          <w:rFonts w:ascii="Calibri" w:hAnsi="Calibri" w:cs="Calibri"/>
        </w:rPr>
      </w:pPr>
      <w:r>
        <w:rPr>
          <w:rFonts w:ascii="Calibri" w:hAnsi="Calibri" w:cs="Calibri"/>
        </w:rPr>
        <w:t>Largo Papa Giovanni XXIII 1</w:t>
      </w:r>
    </w:p>
    <w:p w14:paraId="55B97257" w14:textId="77777777" w:rsidR="00470817" w:rsidRDefault="00470817" w:rsidP="00470817">
      <w:pPr>
        <w:ind w:left="567" w:right="707"/>
        <w:rPr>
          <w:rFonts w:ascii="Calibri" w:hAnsi="Calibri" w:cs="Calibri"/>
        </w:rPr>
      </w:pPr>
    </w:p>
    <w:p w14:paraId="14153C65" w14:textId="512B49AD" w:rsidR="00470817" w:rsidRPr="00470817" w:rsidRDefault="00470817" w:rsidP="00470817">
      <w:pPr>
        <w:ind w:left="567" w:right="707"/>
        <w:rPr>
          <w:rFonts w:ascii="Calibri" w:hAnsi="Calibri" w:cs="Calibri"/>
          <w:u w:val="single"/>
        </w:rPr>
      </w:pPr>
      <w:r w:rsidRPr="00470817">
        <w:rPr>
          <w:rFonts w:ascii="Calibri" w:hAnsi="Calibri" w:cs="Calibri"/>
          <w:u w:val="single"/>
        </w:rPr>
        <w:t>Nota Informativa</w:t>
      </w:r>
    </w:p>
    <w:p w14:paraId="76B3E3FA" w14:textId="77777777" w:rsidR="00470817" w:rsidRDefault="00470817" w:rsidP="00470817">
      <w:pPr>
        <w:ind w:left="567" w:right="707"/>
        <w:rPr>
          <w:rFonts w:ascii="Calibri" w:hAnsi="Calibri" w:cs="Calibri"/>
        </w:rPr>
      </w:pPr>
    </w:p>
    <w:p w14:paraId="3B531D71" w14:textId="6013E7E3" w:rsidR="00470817" w:rsidRDefault="00470817" w:rsidP="00470817">
      <w:pPr>
        <w:ind w:left="567" w:right="707"/>
        <w:jc w:val="right"/>
        <w:rPr>
          <w:rFonts w:ascii="Calibri" w:eastAsia="Bookman Old Style" w:hAnsi="Calibri" w:cs="Calibri"/>
          <w:b/>
          <w:bCs/>
          <w:i/>
          <w:iCs/>
          <w:color w:val="000000"/>
        </w:rPr>
      </w:pPr>
      <w:r>
        <w:rPr>
          <w:rFonts w:ascii="Calibri" w:eastAsia="Bookman Old Style" w:hAnsi="Calibri" w:cs="Calibri"/>
          <w:b/>
          <w:bCs/>
          <w:i/>
          <w:iCs/>
          <w:color w:val="000000"/>
        </w:rPr>
        <w:t>La Collezione Lokar. Una storia di passione e generosità</w:t>
      </w:r>
    </w:p>
    <w:p w14:paraId="7E9D43CD" w14:textId="77777777" w:rsidR="00470817" w:rsidRDefault="00470817" w:rsidP="00470817">
      <w:pPr>
        <w:pStyle w:val="Standard"/>
        <w:ind w:left="567" w:right="707"/>
        <w:jc w:val="both"/>
        <w:rPr>
          <w:rFonts w:ascii="Calibri" w:eastAsia="Bookman Old Style" w:hAnsi="Calibri" w:cs="Calibri"/>
        </w:rPr>
      </w:pPr>
    </w:p>
    <w:p w14:paraId="723F01CF" w14:textId="77777777" w:rsidR="00470817" w:rsidRDefault="00470817" w:rsidP="00470817">
      <w:pPr>
        <w:pStyle w:val="Standard"/>
        <w:ind w:left="567" w:right="707"/>
        <w:jc w:val="both"/>
      </w:pPr>
      <w:r>
        <w:rPr>
          <w:rFonts w:ascii="Calibri" w:eastAsia="Bookman Old Style" w:hAnsi="Calibri" w:cs="Calibri"/>
          <w:color w:val="000000"/>
        </w:rPr>
        <w:t xml:space="preserve">«Così la vedranno tutti». Queste le parole di Giovanni Lokar, collezionista e mecenate assieme alla moglie Sonia Polojaz, in occasione della presentazione, nel febbraio del 2025, della donazione della collezione di porcellane alla città di Trieste, «una città che mi ha dato tanto, permettendomi di lavorare e socializzare. </w:t>
      </w:r>
      <w:r>
        <w:rPr>
          <w:rFonts w:ascii="Calibri" w:eastAsia="CIDFont+F4" w:hAnsi="Calibri" w:cs="Calibri"/>
          <w:color w:val="000000"/>
          <w:szCs w:val="28"/>
        </w:rPr>
        <w:t>È il più bel dono che potessi farle</w:t>
      </w:r>
      <w:r>
        <w:rPr>
          <w:rFonts w:ascii="Calibri" w:eastAsia="Bookman Old Style" w:hAnsi="Calibri" w:cs="Calibri"/>
          <w:color w:val="000000"/>
        </w:rPr>
        <w:t>».</w:t>
      </w:r>
    </w:p>
    <w:p w14:paraId="76356997" w14:textId="77777777" w:rsidR="00470817" w:rsidRDefault="00470817" w:rsidP="00470817">
      <w:pPr>
        <w:pStyle w:val="Standard"/>
        <w:ind w:left="567" w:right="707"/>
        <w:jc w:val="both"/>
      </w:pPr>
      <w:r>
        <w:rPr>
          <w:rFonts w:ascii="Calibri" w:eastAsia="CIDFont+F4" w:hAnsi="Calibri" w:cs="Calibri"/>
          <w:color w:val="000000"/>
          <w:szCs w:val="28"/>
        </w:rPr>
        <w:t>La raccolta di Giovanni Lokar, noto imprenditore triestino che rappresenta la storia e la tradizione del mondo del caffè a Trieste, avendo operato nel settore per oltre 50 anni con aziende leader, è iniziata quasi per caso all’inizio degli anni ’60 del ’900, grazie a un colto negoziante triestino che, dopo avergli venduto un servizio di Meissen, moderno ma con il celeberrimo decoro settecentesco blu “a cipolla” detto “</w:t>
      </w:r>
      <w:r>
        <w:rPr>
          <w:rFonts w:ascii="Calibri" w:eastAsia="CIDFont+F4" w:hAnsi="Calibri" w:cs="Calibri"/>
          <w:i/>
          <w:iCs/>
          <w:color w:val="000000"/>
          <w:szCs w:val="28"/>
        </w:rPr>
        <w:t>Zwiebelmunster</w:t>
      </w:r>
      <w:r>
        <w:rPr>
          <w:rFonts w:ascii="Calibri" w:eastAsia="CIDFont+F4" w:hAnsi="Calibri" w:cs="Calibri"/>
          <w:color w:val="000000"/>
          <w:szCs w:val="28"/>
        </w:rPr>
        <w:t xml:space="preserve">”, riuscì a comunicargli l’interesse per la vera porcellana del primo Settecento, che si trasformò ben presto in una vera e propria passione. Così lo stesso collezionista ricorda gli inizi di questa avventura: </w:t>
      </w:r>
      <w:r>
        <w:rPr>
          <w:rFonts w:ascii="Calibri" w:eastAsia="Bookman Old Style" w:hAnsi="Calibri" w:cs="Calibri"/>
          <w:color w:val="000000"/>
        </w:rPr>
        <w:t>«</w:t>
      </w:r>
      <w:r>
        <w:rPr>
          <w:rFonts w:ascii="Calibri" w:eastAsia="CIDFont+F4" w:hAnsi="Calibri" w:cs="Calibri"/>
          <w:color w:val="000000"/>
          <w:szCs w:val="28"/>
        </w:rPr>
        <w:t>Provengo da una famiglia di commercianti di legname giunta a Trieste da Aidussina negli anni ’40. Ho preso le redini dell’attività di famiglia a 18 anni, subito dopo il diploma, alla fine degli anni ’50. In seguito, ho conosciuto quella che presto sarebbe diventata mia moglie, figlia di un grande commerciante di caffè. Ci siamo sposati nel 1963. Nel 1964 ho cambiato lavoro grazie allo stimolo di mio suocero: “Vieni a lavorare con me, il caffè a Trieste è importantissimo”, mi diceva. All’epoca in Corso Italia c’era un bellissimo negozio di articoli per la casa, frequentato da chi voleva fare acquisti o doni eleganti, anche perché le persone socializzavano perlopiù in casa. Il titolare mi spiegò le peculiarità delle porcellane. Poi è stato proprio il nuovo lavoro nel settore del caffè ad aprirmi gli occhi, perché mi ha fatto frequentare le grandi capitali europee, dove ho approfondito la conoscenza del mondo della porcellana e degli antiquari in un modo che non mi sarebbe stato possibile rimanendo a Trieste. Acquistavo libri, riviste, oltre che oggetti</w:t>
      </w:r>
      <w:r>
        <w:rPr>
          <w:rFonts w:ascii="Calibri" w:eastAsia="Bookman Old Style" w:hAnsi="Calibri" w:cs="Calibri"/>
          <w:color w:val="000000"/>
        </w:rPr>
        <w:t>»</w:t>
      </w:r>
      <w:r>
        <w:rPr>
          <w:rFonts w:ascii="Calibri" w:eastAsia="CIDFont+F4" w:hAnsi="Calibri" w:cs="Calibri"/>
          <w:color w:val="000000"/>
          <w:szCs w:val="28"/>
        </w:rPr>
        <w:t>.</w:t>
      </w:r>
    </w:p>
    <w:p w14:paraId="7A20CEBF" w14:textId="77777777" w:rsidR="00470817" w:rsidRDefault="00470817" w:rsidP="00470817">
      <w:pPr>
        <w:pStyle w:val="Standard"/>
        <w:ind w:left="567" w:right="707"/>
        <w:jc w:val="both"/>
      </w:pPr>
      <w:r>
        <w:rPr>
          <w:rFonts w:ascii="Calibri" w:eastAsia="CIDFont+F4" w:hAnsi="Calibri" w:cs="Calibri"/>
          <w:color w:val="000000"/>
          <w:szCs w:val="28"/>
        </w:rPr>
        <w:t xml:space="preserve">La passione che negli anni ha portato Giovanni Lokar ad acquistare capolavori assoluti di questo scintillante e delicato materiale traspare nelle sue parole: «Scoprii con </w:t>
      </w:r>
      <w:r>
        <w:rPr>
          <w:rFonts w:ascii="Calibri" w:eastAsia="CIDFont+F4" w:hAnsi="Calibri" w:cs="Calibri"/>
          <w:color w:val="000000"/>
          <w:szCs w:val="28"/>
        </w:rPr>
        <w:lastRenderedPageBreak/>
        <w:t>sorpresa un mondo insospettatamente ricco di storia, di trepidazioni, di drammi, di gioie ma specialmente di arte e di raffinatezza. Ciò che affascina il collezionista è ciò che l’oggetto di per sé testimonia, di un’epoca, di uno stile, di una cultura propri di un mondo da tempo scomparso, come i personaggi che lo crearono, che orgogliosamente lo esibirono e che, quasi per incanto, sembrano oggi rivivere al momento di osservarlo».</w:t>
      </w:r>
    </w:p>
    <w:p w14:paraId="57A87031" w14:textId="77777777" w:rsidR="00470817" w:rsidRDefault="00470817" w:rsidP="00470817">
      <w:pPr>
        <w:pStyle w:val="Standard"/>
        <w:ind w:left="567" w:right="707"/>
        <w:jc w:val="both"/>
        <w:rPr>
          <w:rFonts w:ascii="Calibri" w:eastAsia="CIDFont+F4" w:hAnsi="Calibri" w:cs="Calibri"/>
          <w:color w:val="000000"/>
          <w:szCs w:val="28"/>
        </w:rPr>
      </w:pPr>
      <w:r>
        <w:rPr>
          <w:rFonts w:ascii="Calibri" w:eastAsia="CIDFont+F4" w:hAnsi="Calibri" w:cs="Calibri"/>
          <w:color w:val="000000"/>
          <w:szCs w:val="28"/>
        </w:rPr>
        <w:t>Il suo gusto ineguagliabile e il suo acume nella scelta sono stati alimentati dai consigli di esperti che hanno costituito il mercato della porcellana del ’900, in special modo a Milano e a Torino, oltre al continuativo rapporto con le case d’asta. Importante è stata la figura dell’antiquario romano Giampaolo Lukacs, suo consulente da oltre trent’anni, nonché il rapporto con studiosi quali Andreina d’Agliano e Alessandro Biancalana.</w:t>
      </w:r>
    </w:p>
    <w:p w14:paraId="73E4FCE9" w14:textId="77777777" w:rsidR="00470817" w:rsidRDefault="00470817" w:rsidP="00470817">
      <w:pPr>
        <w:pStyle w:val="Standard"/>
        <w:ind w:left="567" w:right="707"/>
        <w:jc w:val="both"/>
        <w:rPr>
          <w:rFonts w:ascii="Calibri" w:eastAsia="CIDFont+F4" w:hAnsi="Calibri" w:cs="Calibri"/>
          <w:color w:val="000000"/>
          <w:szCs w:val="28"/>
        </w:rPr>
      </w:pPr>
      <w:r>
        <w:rPr>
          <w:rFonts w:ascii="Calibri" w:eastAsia="CIDFont+F4" w:hAnsi="Calibri" w:cs="Calibri"/>
          <w:color w:val="000000"/>
          <w:szCs w:val="28"/>
        </w:rPr>
        <w:t>Negli ultimi anni Giovanni Lokar ha continuato a rinnovare il suo interesse, alla ricerca di pezzi rari che avessero la peculiare caratteristica di contribuire alla progressione degli studi e delle ricerche: un collezionismo mirato, quindi, ad approfondire argomenti specifici, in particolare la comparazione fra pezzi di attribuzione oscillante fra una manifattura o l’altra a causa delle analogie stilistiche, che solo confronti diretti possono dirimere.</w:t>
      </w:r>
    </w:p>
    <w:p w14:paraId="32C7732D" w14:textId="77777777" w:rsidR="00470817" w:rsidRDefault="00470817" w:rsidP="00470817">
      <w:pPr>
        <w:pStyle w:val="Standard"/>
        <w:ind w:left="567" w:right="707"/>
        <w:jc w:val="both"/>
        <w:rPr>
          <w:rFonts w:ascii="Calibri" w:eastAsia="CIDFont+F4" w:hAnsi="Calibri" w:cs="Calibri"/>
          <w:color w:val="000000"/>
          <w:szCs w:val="28"/>
        </w:rPr>
      </w:pPr>
      <w:r>
        <w:rPr>
          <w:rFonts w:ascii="Calibri" w:eastAsia="CIDFont+F4" w:hAnsi="Calibri" w:cs="Calibri"/>
          <w:color w:val="000000"/>
          <w:szCs w:val="28"/>
        </w:rPr>
        <w:t>La generosa donazione alla città di Trieste ha quindi scongiurato la dispersione di una raccolta di eccezionale valore estetico e storico, nella consapevolezza che il mantenimento della sua unitarietà e la sua acquisizione da parte di un soggetto destinato istituzionalmente alla conservazione e valorizzazione dei beni culturali comportano un arricchimento non solo per studiosi e appassionati ma per il pubblico in generale.</w:t>
      </w:r>
    </w:p>
    <w:p w14:paraId="289A5AFE" w14:textId="77777777" w:rsidR="00470817" w:rsidRDefault="00470817" w:rsidP="00470817">
      <w:pPr>
        <w:pStyle w:val="Standard"/>
        <w:ind w:left="567" w:right="707"/>
        <w:jc w:val="both"/>
      </w:pPr>
      <w:r>
        <w:rPr>
          <w:rFonts w:ascii="Calibri" w:eastAsia="CIDFont+F4" w:hAnsi="Calibri" w:cs="Calibri"/>
          <w:color w:val="000000"/>
        </w:rPr>
        <w:t>La collezione trova esposizione permanente presso il Museo Sartorio, eccezionale dimora storica altoborghese dell’Ottocento triestino ove pure gli antichi proprietari collezionavano, tra le tante opere d’arte, preziosi oggetti in porcellana. La famiglia Lokar perpetua così la tradizione dei grandi e luminosissimi imprenditori e mecenati triestini, artefici della genesi di patrimoni culturali di valore inestimabile, consegnati alla pubblica fruizione grazie alla donazione a favore della Città e dei Musei cittadini, perché il bello è il complemento indispensabile di ciò che è utile.</w:t>
      </w:r>
    </w:p>
    <w:p w14:paraId="4A2AF3FC" w14:textId="77777777" w:rsidR="008F5CFE" w:rsidRDefault="008F5CFE"/>
    <w:sectPr w:rsidR="008F5CFE" w:rsidSect="00470817">
      <w:pgSz w:w="11906" w:h="16838"/>
      <w:pgMar w:top="1417"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IDFont+F4">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817"/>
    <w:rsid w:val="000519E0"/>
    <w:rsid w:val="000A2B04"/>
    <w:rsid w:val="001E26C5"/>
    <w:rsid w:val="002370CF"/>
    <w:rsid w:val="00470817"/>
    <w:rsid w:val="004D230A"/>
    <w:rsid w:val="004D3DA7"/>
    <w:rsid w:val="0055223E"/>
    <w:rsid w:val="00584DAD"/>
    <w:rsid w:val="005A56B6"/>
    <w:rsid w:val="006C4EB6"/>
    <w:rsid w:val="00764AB9"/>
    <w:rsid w:val="008B2A8C"/>
    <w:rsid w:val="008F5CFE"/>
    <w:rsid w:val="009157B0"/>
    <w:rsid w:val="00B061A2"/>
    <w:rsid w:val="00B1611A"/>
    <w:rsid w:val="00BC3029"/>
    <w:rsid w:val="00CB0910"/>
    <w:rsid w:val="00CD48DF"/>
    <w:rsid w:val="00CF0CA5"/>
    <w:rsid w:val="00D4667E"/>
    <w:rsid w:val="00D8029E"/>
    <w:rsid w:val="00DB1DE1"/>
    <w:rsid w:val="00FF7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8E215"/>
  <w15:chartTrackingRefBased/>
  <w15:docId w15:val="{41006767-6A89-49B8-B606-C62E1298D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kern w:val="2"/>
        <w:sz w:val="24"/>
        <w:szCs w:val="24"/>
        <w:lang w:val="it-IT"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70817"/>
    <w:pPr>
      <w:widowControl w:val="0"/>
      <w:suppressAutoHyphens/>
      <w:autoSpaceDN w:val="0"/>
      <w:spacing w:line="240" w:lineRule="auto"/>
      <w:textAlignment w:val="baseline"/>
    </w:pPr>
    <w:rPr>
      <w:rFonts w:ascii="Liberation Serif" w:eastAsia="NSimSun" w:hAnsi="Liberation Serif" w:cs="Lucida Sans"/>
      <w:kern w:val="3"/>
      <w:lang w:eastAsia="zh-CN" w:bidi="hi-IN"/>
    </w:rPr>
  </w:style>
  <w:style w:type="paragraph" w:styleId="Titolo1">
    <w:name w:val="heading 1"/>
    <w:basedOn w:val="Normale"/>
    <w:next w:val="Normale"/>
    <w:link w:val="Titolo1Carattere"/>
    <w:uiPriority w:val="9"/>
    <w:qFormat/>
    <w:rsid w:val="004708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semiHidden/>
    <w:unhideWhenUsed/>
    <w:qFormat/>
    <w:rsid w:val="004708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470817"/>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47081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470817"/>
    <w:pPr>
      <w:keepNext/>
      <w:keepLines/>
      <w:spacing w:before="80" w:after="40"/>
      <w:outlineLvl w:val="4"/>
    </w:pPr>
    <w:rPr>
      <w:rFonts w:asciiTheme="minorHAnsi" w:eastAsiaTheme="majorEastAsia" w:hAnsiTheme="min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470817"/>
    <w:pPr>
      <w:keepNext/>
      <w:keepLines/>
      <w:spacing w:before="40"/>
      <w:outlineLvl w:val="5"/>
    </w:pPr>
    <w:rPr>
      <w:rFonts w:asciiTheme="minorHAnsi" w:eastAsiaTheme="majorEastAsia" w:hAnsiTheme="minorHAnsi" w:cstheme="majorBidi"/>
      <w:i/>
      <w:iCs/>
      <w:color w:val="595959" w:themeColor="text1" w:themeTint="A6"/>
    </w:rPr>
  </w:style>
  <w:style w:type="paragraph" w:styleId="Titolo7">
    <w:name w:val="heading 7"/>
    <w:basedOn w:val="Normale"/>
    <w:next w:val="Normale"/>
    <w:link w:val="Titolo7Carattere"/>
    <w:uiPriority w:val="9"/>
    <w:semiHidden/>
    <w:unhideWhenUsed/>
    <w:qFormat/>
    <w:rsid w:val="00470817"/>
    <w:pPr>
      <w:keepNext/>
      <w:keepLines/>
      <w:spacing w:before="40"/>
      <w:outlineLvl w:val="6"/>
    </w:pPr>
    <w:rPr>
      <w:rFonts w:asciiTheme="minorHAnsi" w:eastAsiaTheme="majorEastAsia" w:hAnsiTheme="minorHAnsi" w:cstheme="majorBidi"/>
      <w:color w:val="595959" w:themeColor="text1" w:themeTint="A6"/>
    </w:rPr>
  </w:style>
  <w:style w:type="paragraph" w:styleId="Titolo8">
    <w:name w:val="heading 8"/>
    <w:basedOn w:val="Normale"/>
    <w:next w:val="Normale"/>
    <w:link w:val="Titolo8Carattere"/>
    <w:uiPriority w:val="9"/>
    <w:semiHidden/>
    <w:unhideWhenUsed/>
    <w:qFormat/>
    <w:rsid w:val="00470817"/>
    <w:pPr>
      <w:keepNext/>
      <w:keepLines/>
      <w:outlineLvl w:val="7"/>
    </w:pPr>
    <w:rPr>
      <w:rFonts w:asciiTheme="minorHAnsi" w:eastAsiaTheme="majorEastAsia" w:hAnsiTheme="minorHAnsi" w:cstheme="majorBidi"/>
      <w:i/>
      <w:iCs/>
      <w:color w:val="272727" w:themeColor="text1" w:themeTint="D8"/>
    </w:rPr>
  </w:style>
  <w:style w:type="paragraph" w:styleId="Titolo9">
    <w:name w:val="heading 9"/>
    <w:basedOn w:val="Normale"/>
    <w:next w:val="Normale"/>
    <w:link w:val="Titolo9Carattere"/>
    <w:uiPriority w:val="9"/>
    <w:semiHidden/>
    <w:unhideWhenUsed/>
    <w:qFormat/>
    <w:rsid w:val="00470817"/>
    <w:pPr>
      <w:keepNext/>
      <w:keepLines/>
      <w:outlineLvl w:val="8"/>
    </w:pPr>
    <w:rPr>
      <w:rFonts w:asciiTheme="minorHAnsi" w:eastAsiaTheme="majorEastAsia" w:hAnsiTheme="minorHAnsi"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70817"/>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470817"/>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470817"/>
    <w:rPr>
      <w:rFonts w:asciiTheme="minorHAnsi" w:eastAsiaTheme="majorEastAsia" w:hAnsiTheme="minorHAnsi"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470817"/>
    <w:rPr>
      <w:rFonts w:asciiTheme="minorHAnsi" w:eastAsiaTheme="majorEastAsia" w:hAnsiTheme="min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470817"/>
    <w:rPr>
      <w:rFonts w:asciiTheme="minorHAnsi" w:eastAsiaTheme="majorEastAsia" w:hAnsiTheme="minorHAnsi" w:cstheme="majorBidi"/>
      <w:color w:val="2F5496" w:themeColor="accent1" w:themeShade="BF"/>
    </w:rPr>
  </w:style>
  <w:style w:type="character" w:customStyle="1" w:styleId="Titolo6Carattere">
    <w:name w:val="Titolo 6 Carattere"/>
    <w:basedOn w:val="Carpredefinitoparagrafo"/>
    <w:link w:val="Titolo6"/>
    <w:uiPriority w:val="9"/>
    <w:semiHidden/>
    <w:rsid w:val="00470817"/>
    <w:rPr>
      <w:rFonts w:asciiTheme="minorHAnsi" w:eastAsiaTheme="majorEastAsia" w:hAnsiTheme="minorHAnsi" w:cstheme="majorBidi"/>
      <w:i/>
      <w:iCs/>
      <w:color w:val="595959" w:themeColor="text1" w:themeTint="A6"/>
    </w:rPr>
  </w:style>
  <w:style w:type="character" w:customStyle="1" w:styleId="Titolo7Carattere">
    <w:name w:val="Titolo 7 Carattere"/>
    <w:basedOn w:val="Carpredefinitoparagrafo"/>
    <w:link w:val="Titolo7"/>
    <w:uiPriority w:val="9"/>
    <w:semiHidden/>
    <w:rsid w:val="00470817"/>
    <w:rPr>
      <w:rFonts w:asciiTheme="minorHAnsi" w:eastAsiaTheme="majorEastAsia" w:hAnsiTheme="minorHAnsi" w:cstheme="majorBidi"/>
      <w:color w:val="595959" w:themeColor="text1" w:themeTint="A6"/>
    </w:rPr>
  </w:style>
  <w:style w:type="character" w:customStyle="1" w:styleId="Titolo8Carattere">
    <w:name w:val="Titolo 8 Carattere"/>
    <w:basedOn w:val="Carpredefinitoparagrafo"/>
    <w:link w:val="Titolo8"/>
    <w:uiPriority w:val="9"/>
    <w:semiHidden/>
    <w:rsid w:val="00470817"/>
    <w:rPr>
      <w:rFonts w:asciiTheme="minorHAnsi" w:eastAsiaTheme="majorEastAsia" w:hAnsiTheme="minorHAnsi" w:cstheme="majorBidi"/>
      <w:i/>
      <w:iCs/>
      <w:color w:val="272727" w:themeColor="text1" w:themeTint="D8"/>
    </w:rPr>
  </w:style>
  <w:style w:type="character" w:customStyle="1" w:styleId="Titolo9Carattere">
    <w:name w:val="Titolo 9 Carattere"/>
    <w:basedOn w:val="Carpredefinitoparagrafo"/>
    <w:link w:val="Titolo9"/>
    <w:uiPriority w:val="9"/>
    <w:semiHidden/>
    <w:rsid w:val="00470817"/>
    <w:rPr>
      <w:rFonts w:asciiTheme="minorHAnsi" w:eastAsiaTheme="majorEastAsia" w:hAnsiTheme="minorHAnsi" w:cstheme="majorBidi"/>
      <w:color w:val="272727" w:themeColor="text1" w:themeTint="D8"/>
    </w:rPr>
  </w:style>
  <w:style w:type="paragraph" w:styleId="Titolo">
    <w:name w:val="Title"/>
    <w:basedOn w:val="Normale"/>
    <w:next w:val="Normale"/>
    <w:link w:val="TitoloCarattere"/>
    <w:uiPriority w:val="10"/>
    <w:qFormat/>
    <w:rsid w:val="00470817"/>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470817"/>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470817"/>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470817"/>
    <w:rPr>
      <w:rFonts w:asciiTheme="minorHAnsi" w:eastAsiaTheme="majorEastAsia" w:hAnsiTheme="minorHAnsi"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470817"/>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470817"/>
    <w:rPr>
      <w:i/>
      <w:iCs/>
      <w:color w:val="404040" w:themeColor="text1" w:themeTint="BF"/>
    </w:rPr>
  </w:style>
  <w:style w:type="paragraph" w:styleId="Paragrafoelenco">
    <w:name w:val="List Paragraph"/>
    <w:basedOn w:val="Normale"/>
    <w:uiPriority w:val="34"/>
    <w:qFormat/>
    <w:rsid w:val="00470817"/>
    <w:pPr>
      <w:ind w:left="720"/>
      <w:contextualSpacing/>
    </w:pPr>
  </w:style>
  <w:style w:type="character" w:styleId="Enfasiintensa">
    <w:name w:val="Intense Emphasis"/>
    <w:basedOn w:val="Carpredefinitoparagrafo"/>
    <w:uiPriority w:val="21"/>
    <w:qFormat/>
    <w:rsid w:val="00470817"/>
    <w:rPr>
      <w:i/>
      <w:iCs/>
      <w:color w:val="2F5496" w:themeColor="accent1" w:themeShade="BF"/>
    </w:rPr>
  </w:style>
  <w:style w:type="paragraph" w:styleId="Citazioneintensa">
    <w:name w:val="Intense Quote"/>
    <w:basedOn w:val="Normale"/>
    <w:next w:val="Normale"/>
    <w:link w:val="CitazioneintensaCarattere"/>
    <w:uiPriority w:val="30"/>
    <w:qFormat/>
    <w:rsid w:val="004708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470817"/>
    <w:rPr>
      <w:i/>
      <w:iCs/>
      <w:color w:val="2F5496" w:themeColor="accent1" w:themeShade="BF"/>
    </w:rPr>
  </w:style>
  <w:style w:type="character" w:styleId="Riferimentointenso">
    <w:name w:val="Intense Reference"/>
    <w:basedOn w:val="Carpredefinitoparagrafo"/>
    <w:uiPriority w:val="32"/>
    <w:qFormat/>
    <w:rsid w:val="00470817"/>
    <w:rPr>
      <w:b/>
      <w:bCs/>
      <w:smallCaps/>
      <w:color w:val="2F5496" w:themeColor="accent1" w:themeShade="BF"/>
      <w:spacing w:val="5"/>
    </w:rPr>
  </w:style>
  <w:style w:type="paragraph" w:customStyle="1" w:styleId="Standard">
    <w:name w:val="Standard"/>
    <w:rsid w:val="00470817"/>
    <w:pPr>
      <w:suppressAutoHyphens/>
      <w:autoSpaceDN w:val="0"/>
      <w:spacing w:line="240" w:lineRule="auto"/>
      <w:textAlignment w:val="baseline"/>
    </w:pPr>
    <w:rPr>
      <w:rFonts w:ascii="Times New Roman" w:eastAsia="Times New Roman" w:hAnsi="Times New Roman" w:cs="Times New Roman"/>
      <w:kern w:val="3"/>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715</Words>
  <Characters>4078</Characters>
  <Application>Microsoft Office Word</Application>
  <DocSecurity>0</DocSecurity>
  <Lines>33</Lines>
  <Paragraphs>9</Paragraphs>
  <ScaleCrop>false</ScaleCrop>
  <Company/>
  <LinksUpToDate>false</LinksUpToDate>
  <CharactersWithSpaces>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 STUDIO ESSECI</dc:creator>
  <cp:keywords/>
  <dc:description/>
  <cp:lastModifiedBy>Elisa - STUDIO ESSECI</cp:lastModifiedBy>
  <cp:revision>1</cp:revision>
  <dcterms:created xsi:type="dcterms:W3CDTF">2025-11-20T09:35:00Z</dcterms:created>
  <dcterms:modified xsi:type="dcterms:W3CDTF">2025-11-20T09:40:00Z</dcterms:modified>
</cp:coreProperties>
</file>